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69B" w14:textId="3A0F2227" w:rsidR="008A652C" w:rsidRPr="00603175" w:rsidRDefault="006268C3">
      <w:pPr>
        <w:pStyle w:val="Nzov"/>
        <w:spacing w:line="276" w:lineRule="auto"/>
        <w:rPr>
          <w:lang w:val="en-GB"/>
        </w:rPr>
      </w:pPr>
      <w:r w:rsidRPr="00603175">
        <w:rPr>
          <w:b w:val="0"/>
          <w:noProof/>
          <w:sz w:val="24"/>
          <w:lang w:val="en-GB" w:eastAsia="sk-SK"/>
        </w:rPr>
        <mc:AlternateContent>
          <mc:Choice Requires="wps">
            <w:drawing>
              <wp:anchor distT="45720" distB="45720" distL="114300" distR="114300" simplePos="0" relativeHeight="251658752" behindDoc="1" locked="0" layoutInCell="1" allowOverlap="1" wp14:anchorId="2598FC95" wp14:editId="3212CA12">
                <wp:simplePos x="0" y="0"/>
                <wp:positionH relativeFrom="column">
                  <wp:posOffset>6350</wp:posOffset>
                </wp:positionH>
                <wp:positionV relativeFrom="paragraph">
                  <wp:posOffset>320675</wp:posOffset>
                </wp:positionV>
                <wp:extent cx="1219200" cy="819150"/>
                <wp:effectExtent l="0" t="0" r="19050" b="19050"/>
                <wp:wrapTight wrapText="bothSides">
                  <wp:wrapPolygon edited="0">
                    <wp:start x="0" y="0"/>
                    <wp:lineTo x="0" y="21600"/>
                    <wp:lineTo x="21600" y="21600"/>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19150"/>
                        </a:xfrm>
                        <a:prstGeom prst="rect">
                          <a:avLst/>
                        </a:prstGeom>
                        <a:solidFill>
                          <a:srgbClr val="FFFFFF"/>
                        </a:solidFill>
                        <a:ln w="9525">
                          <a:solidFill>
                            <a:srgbClr val="000000"/>
                          </a:solidFill>
                          <a:miter lim="800000"/>
                          <a:headEnd/>
                          <a:tailEnd/>
                        </a:ln>
                      </wps:spPr>
                      <wps:txbx>
                        <w:txbxContent>
                          <w:p w14:paraId="2EF050E1" w14:textId="2082DF1F" w:rsidR="006268C3" w:rsidRDefault="00603175">
                            <w:r w:rsidRPr="00603175">
                              <w:rPr>
                                <w:noProof/>
                              </w:rPr>
                              <w:drawing>
                                <wp:inline distT="0" distB="0" distL="0" distR="0" wp14:anchorId="5D14B035" wp14:editId="5158F26C">
                                  <wp:extent cx="1027430" cy="494665"/>
                                  <wp:effectExtent l="0" t="0" r="1270" b="635"/>
                                  <wp:docPr id="212960599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494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8FC95" id="_x0000_t202" coordsize="21600,21600" o:spt="202" path="m,l,21600r21600,l21600,xe">
                <v:stroke joinstyle="miter"/>
                <v:path gradientshapeok="t" o:connecttype="rect"/>
              </v:shapetype>
              <v:shape id="Textové pole 2" o:spid="_x0000_s1026" type="#_x0000_t202" style="position:absolute;left:0;text-align:left;margin-left:.5pt;margin-top:25.25pt;width:96pt;height: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vSDgIAAB8EAAAOAAAAZHJzL2Uyb0RvYy54bWysU9tu2zAMfR+wfxD0vjgOkq0x4hRdugwD&#10;ugvQ9QNkWY6FyaJGKbGzrx8lp2nQdS/D/CCIJnVIHh6urofOsINCr8GWPJ9MOVNWQq3truQP37dv&#10;rjjzQdhaGLCq5Efl+fX69atV7wo1gxZMrZARiPVF70rehuCKLPOyVZ3wE3DKkrMB7EQgE3dZjaIn&#10;9M5ks+n0bdYD1g5BKu/p7+3o5OuE3zRKhq9N41VgpuRUW0gnprOKZ7ZeiWKHwrVansoQ/1BFJ7Sl&#10;pGeoWxEE26P+A6rTEsFDEyYSugyaRkuVeqBu8umzbu5b4VTqhcjx7kyT/3+w8svh3n1DFob3MNAA&#10;UxPe3YH84ZmFTSvsTt0gQt8qUVPiPFKW9c4Xp6eRal/4CFL1n6GmIYt9gAQ0NNhFVqhPRug0gOOZ&#10;dDUEJmPKWb6kSXImyXeVL/NFmkomisfXDn34qKBj8VJypKEmdHG48yFWI4rHkJjMg9H1VhuTDNxV&#10;G4PsIEgA2/SlBp6FGcv6ki8Xs8VIwF8hpul7CaLTgZRsdEddnINEEWn7YOuksyC0Ge9UsrEnHiN1&#10;I4lhqAYKjHxWUB+JUYRRsbRhdGkBf3HWk1pL7n/uBSrOzCdLU1nm83mUdzLmi3czMvDSU116hJUE&#10;VfLA2XjdhLQSkTALNzS9Ridinyo51UoqTHyfNibK/NJOUU97vf4NAAD//wMAUEsDBBQABgAIAAAA&#10;IQBDl2t/3QAAAAgBAAAPAAAAZHJzL2Rvd25yZXYueG1sTI9BT8MwDIXvSPyHyEhcEEthdFtL0wkh&#10;geAGA8E1a7y2InFKknXl3+Od4ObnZz1/r1pPzooRQ+w9KbiaZSCQGm96ahW8vz1crkDEpMlo6wkV&#10;/GCEdX16UunS+AO94rhJreAQiqVW0KU0lFLGpkOn48wPSOztfHA6sQytNEEfONxZeZ1lC+l0T/yh&#10;0wPed9h8bfZOwermafyMz/OXj2axs0W6WI6P30Gp87Pp7hZEwin9HcMRn9GhZqat35OJwrLmJklB&#10;nuUgjnYx58WWh2WRg6wr+b9A/QsAAP//AwBQSwECLQAUAAYACAAAACEAtoM4kv4AAADhAQAAEwAA&#10;AAAAAAAAAAAAAAAAAAAAW0NvbnRlbnRfVHlwZXNdLnhtbFBLAQItABQABgAIAAAAIQA4/SH/1gAA&#10;AJQBAAALAAAAAAAAAAAAAAAAAC8BAABfcmVscy8ucmVsc1BLAQItABQABgAIAAAAIQCIXwvSDgIA&#10;AB8EAAAOAAAAAAAAAAAAAAAAAC4CAABkcnMvZTJvRG9jLnhtbFBLAQItABQABgAIAAAAIQBDl2t/&#10;3QAAAAgBAAAPAAAAAAAAAAAAAAAAAGgEAABkcnMvZG93bnJldi54bWxQSwUGAAAAAAQABADzAAAA&#10;cgUAAAAA&#10;">
                <v:textbox>
                  <w:txbxContent>
                    <w:p w14:paraId="2EF050E1" w14:textId="2082DF1F" w:rsidR="006268C3" w:rsidRDefault="00603175">
                      <w:r w:rsidRPr="00603175">
                        <w:rPr>
                          <w:noProof/>
                        </w:rPr>
                        <w:drawing>
                          <wp:inline distT="0" distB="0" distL="0" distR="0" wp14:anchorId="5D14B035" wp14:editId="5158F26C">
                            <wp:extent cx="1027430" cy="494665"/>
                            <wp:effectExtent l="0" t="0" r="1270" b="635"/>
                            <wp:docPr id="212960599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494665"/>
                                    </a:xfrm>
                                    <a:prstGeom prst="rect">
                                      <a:avLst/>
                                    </a:prstGeom>
                                    <a:noFill/>
                                    <a:ln>
                                      <a:noFill/>
                                    </a:ln>
                                  </pic:spPr>
                                </pic:pic>
                              </a:graphicData>
                            </a:graphic>
                          </wp:inline>
                        </w:drawing>
                      </w:r>
                    </w:p>
                  </w:txbxContent>
                </v:textbox>
                <w10:wrap type="tight"/>
              </v:shape>
            </w:pict>
          </mc:Fallback>
        </mc:AlternateContent>
      </w:r>
      <w:r w:rsidR="00603175" w:rsidRPr="00603175">
        <w:rPr>
          <w:lang w:val="en-GB"/>
        </w:rPr>
        <w:t>Faculty of Engineering</w:t>
      </w:r>
      <w:r w:rsidR="00CC7099" w:rsidRPr="00603175">
        <w:rPr>
          <w:spacing w:val="-23"/>
          <w:lang w:val="en-GB"/>
        </w:rPr>
        <w:t xml:space="preserve"> </w:t>
      </w:r>
    </w:p>
    <w:p w14:paraId="010D30D8" w14:textId="2A176FCB" w:rsidR="008A652C" w:rsidRPr="00603175" w:rsidRDefault="00CC7099">
      <w:pPr>
        <w:spacing w:line="292" w:lineRule="exact"/>
        <w:ind w:left="2970"/>
        <w:rPr>
          <w:b/>
          <w:sz w:val="24"/>
          <w:lang w:val="en-GB"/>
        </w:rPr>
      </w:pPr>
      <w:r w:rsidRPr="00603175">
        <w:rPr>
          <w:b/>
          <w:sz w:val="24"/>
          <w:lang w:val="en-GB"/>
        </w:rPr>
        <w:t>SLOV</w:t>
      </w:r>
      <w:r w:rsidR="00603175">
        <w:rPr>
          <w:b/>
          <w:sz w:val="24"/>
          <w:lang w:val="en-GB"/>
        </w:rPr>
        <w:t>AK UNIVERSITY OF AGRICULTURE IN NITRA</w:t>
      </w:r>
    </w:p>
    <w:p w14:paraId="72177B59" w14:textId="77777777" w:rsidR="008A652C" w:rsidRPr="00603175" w:rsidRDefault="008A652C">
      <w:pPr>
        <w:pStyle w:val="Zkladntext"/>
        <w:spacing w:before="144"/>
        <w:rPr>
          <w:b/>
          <w:sz w:val="20"/>
          <w:lang w:val="en-GB"/>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rsidRPr="00603175" w14:paraId="401CEF91" w14:textId="77777777" w:rsidTr="00174253">
        <w:trPr>
          <w:trHeight w:val="242"/>
        </w:trPr>
        <w:tc>
          <w:tcPr>
            <w:tcW w:w="2129" w:type="dxa"/>
          </w:tcPr>
          <w:p w14:paraId="09E3FDF9" w14:textId="14A0FE44" w:rsidR="008A652C" w:rsidRPr="00603175" w:rsidRDefault="00CC7099">
            <w:pPr>
              <w:pStyle w:val="TableParagraph"/>
              <w:spacing w:before="0" w:line="222" w:lineRule="exact"/>
              <w:ind w:left="50" w:right="0"/>
              <w:jc w:val="left"/>
              <w:rPr>
                <w:lang w:val="en-GB"/>
              </w:rPr>
            </w:pPr>
            <w:r w:rsidRPr="00603175">
              <w:rPr>
                <w:spacing w:val="-2"/>
                <w:lang w:val="en-GB"/>
              </w:rPr>
              <w:t>Adres</w:t>
            </w:r>
            <w:r w:rsidR="00603175">
              <w:rPr>
                <w:spacing w:val="-2"/>
                <w:lang w:val="en-GB"/>
              </w:rPr>
              <w:t>s</w:t>
            </w:r>
            <w:r w:rsidRPr="00603175">
              <w:rPr>
                <w:spacing w:val="-2"/>
                <w:lang w:val="en-GB"/>
              </w:rPr>
              <w:t>:</w:t>
            </w:r>
          </w:p>
        </w:tc>
        <w:tc>
          <w:tcPr>
            <w:tcW w:w="4102" w:type="dxa"/>
          </w:tcPr>
          <w:p w14:paraId="0A92E30C" w14:textId="77777777" w:rsidR="008A652C" w:rsidRPr="00603175" w:rsidRDefault="00CC7099">
            <w:pPr>
              <w:pStyle w:val="TableParagraph"/>
              <w:spacing w:before="0" w:line="222" w:lineRule="exact"/>
              <w:ind w:left="585" w:right="0"/>
              <w:jc w:val="left"/>
              <w:rPr>
                <w:i/>
                <w:iCs/>
                <w:color w:val="000000" w:themeColor="text1"/>
                <w:lang w:val="en-GB"/>
              </w:rPr>
            </w:pPr>
            <w:r w:rsidRPr="00603175">
              <w:rPr>
                <w:i/>
                <w:iCs/>
                <w:color w:val="000000" w:themeColor="text1"/>
                <w:lang w:val="en-GB"/>
              </w:rPr>
              <w:t>Tr.</w:t>
            </w:r>
            <w:r w:rsidRPr="00603175">
              <w:rPr>
                <w:i/>
                <w:iCs/>
                <w:color w:val="000000" w:themeColor="text1"/>
                <w:spacing w:val="-5"/>
                <w:lang w:val="en-GB"/>
              </w:rPr>
              <w:t xml:space="preserve"> </w:t>
            </w:r>
            <w:r w:rsidRPr="00603175">
              <w:rPr>
                <w:i/>
                <w:iCs/>
                <w:color w:val="000000" w:themeColor="text1"/>
                <w:lang w:val="en-GB"/>
              </w:rPr>
              <w:t>A.</w:t>
            </w:r>
            <w:r w:rsidRPr="00603175">
              <w:rPr>
                <w:i/>
                <w:iCs/>
                <w:color w:val="000000" w:themeColor="text1"/>
                <w:spacing w:val="-5"/>
                <w:lang w:val="en-GB"/>
              </w:rPr>
              <w:t xml:space="preserve"> </w:t>
            </w:r>
            <w:r w:rsidRPr="00603175">
              <w:rPr>
                <w:i/>
                <w:iCs/>
                <w:color w:val="000000" w:themeColor="text1"/>
                <w:lang w:val="en-GB"/>
              </w:rPr>
              <w:t>Hlinku</w:t>
            </w:r>
            <w:r w:rsidRPr="00603175">
              <w:rPr>
                <w:i/>
                <w:iCs/>
                <w:color w:val="000000" w:themeColor="text1"/>
                <w:spacing w:val="-4"/>
                <w:lang w:val="en-GB"/>
              </w:rPr>
              <w:t xml:space="preserve"> </w:t>
            </w:r>
            <w:r w:rsidRPr="00603175">
              <w:rPr>
                <w:i/>
                <w:iCs/>
                <w:color w:val="000000" w:themeColor="text1"/>
                <w:lang w:val="en-GB"/>
              </w:rPr>
              <w:t>2,</w:t>
            </w:r>
            <w:r w:rsidRPr="00603175">
              <w:rPr>
                <w:i/>
                <w:iCs/>
                <w:color w:val="000000" w:themeColor="text1"/>
                <w:spacing w:val="-8"/>
                <w:lang w:val="en-GB"/>
              </w:rPr>
              <w:t xml:space="preserve"> </w:t>
            </w:r>
            <w:r w:rsidRPr="00603175">
              <w:rPr>
                <w:i/>
                <w:iCs/>
                <w:color w:val="000000" w:themeColor="text1"/>
                <w:lang w:val="en-GB"/>
              </w:rPr>
              <w:t>949</w:t>
            </w:r>
            <w:r w:rsidRPr="00603175">
              <w:rPr>
                <w:i/>
                <w:iCs/>
                <w:color w:val="000000" w:themeColor="text1"/>
                <w:spacing w:val="-6"/>
                <w:lang w:val="en-GB"/>
              </w:rPr>
              <w:t xml:space="preserve"> </w:t>
            </w:r>
            <w:r w:rsidRPr="00603175">
              <w:rPr>
                <w:i/>
                <w:iCs/>
                <w:color w:val="000000" w:themeColor="text1"/>
                <w:lang w:val="en-GB"/>
              </w:rPr>
              <w:t>76</w:t>
            </w:r>
            <w:r w:rsidRPr="00603175">
              <w:rPr>
                <w:i/>
                <w:iCs/>
                <w:color w:val="000000" w:themeColor="text1"/>
                <w:spacing w:val="-2"/>
                <w:lang w:val="en-GB"/>
              </w:rPr>
              <w:t xml:space="preserve"> </w:t>
            </w:r>
            <w:r w:rsidRPr="00603175">
              <w:rPr>
                <w:i/>
                <w:iCs/>
                <w:color w:val="000000" w:themeColor="text1"/>
                <w:spacing w:val="-4"/>
                <w:lang w:val="en-GB"/>
              </w:rPr>
              <w:t>Nitra</w:t>
            </w:r>
          </w:p>
        </w:tc>
      </w:tr>
      <w:tr w:rsidR="008A652C" w:rsidRPr="00603175" w14:paraId="720CDA1C" w14:textId="77777777" w:rsidTr="00174253">
        <w:trPr>
          <w:trHeight w:val="265"/>
        </w:trPr>
        <w:tc>
          <w:tcPr>
            <w:tcW w:w="2129" w:type="dxa"/>
          </w:tcPr>
          <w:p w14:paraId="311F6DF6" w14:textId="1B114D84" w:rsidR="008A652C" w:rsidRPr="00603175" w:rsidRDefault="00603175">
            <w:pPr>
              <w:pStyle w:val="TableParagraph"/>
              <w:spacing w:before="0" w:line="245" w:lineRule="exact"/>
              <w:ind w:left="50" w:right="0"/>
              <w:jc w:val="left"/>
              <w:rPr>
                <w:lang w:val="en-GB"/>
              </w:rPr>
            </w:pPr>
            <w:r>
              <w:rPr>
                <w:spacing w:val="-2"/>
                <w:lang w:val="en-GB"/>
              </w:rPr>
              <w:t>Phone</w:t>
            </w:r>
            <w:r w:rsidR="00CC7099" w:rsidRPr="00603175">
              <w:rPr>
                <w:spacing w:val="-2"/>
                <w:lang w:val="en-GB"/>
              </w:rPr>
              <w:t>:</w:t>
            </w:r>
          </w:p>
        </w:tc>
        <w:tc>
          <w:tcPr>
            <w:tcW w:w="4102" w:type="dxa"/>
          </w:tcPr>
          <w:p w14:paraId="1DCA3981" w14:textId="693F60B3" w:rsidR="008A652C" w:rsidRPr="00603175" w:rsidRDefault="00CC7099">
            <w:pPr>
              <w:pStyle w:val="TableParagraph"/>
              <w:spacing w:before="0" w:line="245" w:lineRule="exact"/>
              <w:ind w:left="585" w:right="0"/>
              <w:jc w:val="left"/>
              <w:rPr>
                <w:color w:val="000000" w:themeColor="text1"/>
                <w:lang w:val="en-GB"/>
              </w:rPr>
            </w:pPr>
            <w:r w:rsidRPr="00603175">
              <w:rPr>
                <w:color w:val="000000" w:themeColor="text1"/>
                <w:spacing w:val="-2"/>
                <w:lang w:val="en-GB"/>
              </w:rPr>
              <w:t>037/641</w:t>
            </w:r>
            <w:r w:rsidRPr="00603175">
              <w:rPr>
                <w:color w:val="000000" w:themeColor="text1"/>
                <w:spacing w:val="-3"/>
                <w:lang w:val="en-GB"/>
              </w:rPr>
              <w:t xml:space="preserve"> </w:t>
            </w:r>
            <w:r w:rsidR="008C2795" w:rsidRPr="00603175">
              <w:rPr>
                <w:i/>
                <w:iCs/>
                <w:color w:val="000000" w:themeColor="text1"/>
                <w:spacing w:val="-4"/>
                <w:lang w:val="en-GB"/>
              </w:rPr>
              <w:t>5489</w:t>
            </w:r>
          </w:p>
        </w:tc>
      </w:tr>
      <w:tr w:rsidR="008A652C" w:rsidRPr="00603175" w14:paraId="198BF3FB" w14:textId="77777777" w:rsidTr="00174253">
        <w:trPr>
          <w:trHeight w:val="258"/>
        </w:trPr>
        <w:tc>
          <w:tcPr>
            <w:tcW w:w="2129" w:type="dxa"/>
          </w:tcPr>
          <w:p w14:paraId="7218529D" w14:textId="77777777" w:rsidR="008A652C" w:rsidRPr="00603175" w:rsidRDefault="00CC7099">
            <w:pPr>
              <w:pStyle w:val="TableParagraph"/>
              <w:spacing w:before="0" w:line="238" w:lineRule="exact"/>
              <w:ind w:left="50" w:right="0"/>
              <w:jc w:val="left"/>
              <w:rPr>
                <w:lang w:val="en-GB"/>
              </w:rPr>
            </w:pPr>
            <w:r w:rsidRPr="00603175">
              <w:rPr>
                <w:spacing w:val="-3"/>
                <w:lang w:val="en-GB"/>
              </w:rPr>
              <w:t>E-</w:t>
            </w:r>
            <w:r w:rsidRPr="00603175">
              <w:rPr>
                <w:spacing w:val="-4"/>
                <w:lang w:val="en-GB"/>
              </w:rPr>
              <w:t>mail:</w:t>
            </w:r>
          </w:p>
        </w:tc>
        <w:tc>
          <w:tcPr>
            <w:tcW w:w="4102" w:type="dxa"/>
          </w:tcPr>
          <w:p w14:paraId="2A264759" w14:textId="7CB9DEF0" w:rsidR="008A652C" w:rsidRPr="00603175" w:rsidRDefault="008C2795">
            <w:pPr>
              <w:pStyle w:val="TableParagraph"/>
              <w:spacing w:before="0" w:line="238" w:lineRule="exact"/>
              <w:ind w:left="585" w:right="0"/>
              <w:jc w:val="left"/>
              <w:rPr>
                <w:i/>
                <w:iCs/>
                <w:color w:val="000000" w:themeColor="text1"/>
                <w:lang w:val="en-GB"/>
              </w:rPr>
            </w:pPr>
            <w:r w:rsidRPr="00603175">
              <w:rPr>
                <w:i/>
                <w:iCs/>
                <w:color w:val="000000" w:themeColor="text1"/>
                <w:lang w:val="en-GB"/>
              </w:rPr>
              <w:t>dtf@uniag.sk</w:t>
            </w:r>
          </w:p>
        </w:tc>
      </w:tr>
      <w:tr w:rsidR="008A652C" w:rsidRPr="00603175" w14:paraId="0AC96FFF" w14:textId="77777777" w:rsidTr="00174253">
        <w:trPr>
          <w:trHeight w:val="263"/>
        </w:trPr>
        <w:tc>
          <w:tcPr>
            <w:tcW w:w="2129" w:type="dxa"/>
          </w:tcPr>
          <w:p w14:paraId="291BA513" w14:textId="6901A0EF" w:rsidR="008A652C" w:rsidRPr="00603175" w:rsidRDefault="00CC7099">
            <w:pPr>
              <w:pStyle w:val="TableParagraph"/>
              <w:spacing w:before="0" w:line="239" w:lineRule="exact"/>
              <w:ind w:left="50" w:right="0"/>
              <w:jc w:val="left"/>
              <w:rPr>
                <w:lang w:val="en-GB"/>
              </w:rPr>
            </w:pPr>
            <w:r w:rsidRPr="00603175">
              <w:rPr>
                <w:lang w:val="en-GB"/>
              </w:rPr>
              <w:t>Web</w:t>
            </w:r>
            <w:r w:rsidR="00603175">
              <w:rPr>
                <w:lang w:val="en-GB"/>
              </w:rPr>
              <w:t xml:space="preserve"> page</w:t>
            </w:r>
            <w:r w:rsidRPr="00603175">
              <w:rPr>
                <w:spacing w:val="-2"/>
                <w:lang w:val="en-GB"/>
              </w:rPr>
              <w:t>:</w:t>
            </w:r>
          </w:p>
        </w:tc>
        <w:tc>
          <w:tcPr>
            <w:tcW w:w="4102" w:type="dxa"/>
          </w:tcPr>
          <w:p w14:paraId="249888EB" w14:textId="03109665" w:rsidR="008A652C" w:rsidRPr="00603175" w:rsidRDefault="008C2795">
            <w:pPr>
              <w:pStyle w:val="TableParagraph"/>
              <w:spacing w:before="0" w:line="244" w:lineRule="exact"/>
              <w:ind w:left="594" w:right="0"/>
              <w:jc w:val="left"/>
              <w:rPr>
                <w:i/>
                <w:iCs/>
                <w:color w:val="000000" w:themeColor="text1"/>
                <w:lang w:val="en-GB"/>
              </w:rPr>
            </w:pPr>
            <w:r w:rsidRPr="00603175">
              <w:rPr>
                <w:i/>
                <w:iCs/>
                <w:color w:val="000000" w:themeColor="text1"/>
                <w:lang w:val="en-GB"/>
              </w:rPr>
              <w:t>https://tf.uniag.sk/sk/uvodna-stranka</w:t>
            </w:r>
          </w:p>
        </w:tc>
      </w:tr>
      <w:tr w:rsidR="006268C3" w:rsidRPr="00603175" w14:paraId="03F22F55" w14:textId="77777777" w:rsidTr="00174253">
        <w:trPr>
          <w:trHeight w:val="263"/>
        </w:trPr>
        <w:tc>
          <w:tcPr>
            <w:tcW w:w="2129" w:type="dxa"/>
          </w:tcPr>
          <w:p w14:paraId="7DFF9FC3" w14:textId="77777777" w:rsidR="006268C3" w:rsidRPr="00603175" w:rsidRDefault="006268C3">
            <w:pPr>
              <w:pStyle w:val="TableParagraph"/>
              <w:spacing w:before="0" w:line="239" w:lineRule="exact"/>
              <w:ind w:left="50" w:right="0"/>
              <w:jc w:val="left"/>
              <w:rPr>
                <w:lang w:val="en-GB"/>
              </w:rPr>
            </w:pPr>
          </w:p>
        </w:tc>
        <w:tc>
          <w:tcPr>
            <w:tcW w:w="4102" w:type="dxa"/>
          </w:tcPr>
          <w:p w14:paraId="52A0F55F" w14:textId="74578FD0" w:rsidR="006268C3" w:rsidRPr="00603175" w:rsidRDefault="008C2795">
            <w:pPr>
              <w:pStyle w:val="TableParagraph"/>
              <w:spacing w:before="0" w:line="244" w:lineRule="exact"/>
              <w:ind w:left="594" w:right="0"/>
              <w:jc w:val="left"/>
              <w:rPr>
                <w:i/>
                <w:iCs/>
                <w:color w:val="000000" w:themeColor="text1"/>
                <w:lang w:val="en-GB"/>
              </w:rPr>
            </w:pPr>
            <w:r w:rsidRPr="00603175">
              <w:rPr>
                <w:i/>
                <w:iCs/>
                <w:color w:val="000000" w:themeColor="text1"/>
                <w:lang w:val="en-GB"/>
              </w:rPr>
              <w:t>http://studujtechniku.sk/</w:t>
            </w:r>
          </w:p>
        </w:tc>
      </w:tr>
    </w:tbl>
    <w:p w14:paraId="4CA640DD" w14:textId="21310C1A" w:rsidR="008A652C" w:rsidRDefault="00603175" w:rsidP="00603175">
      <w:pPr>
        <w:pStyle w:val="Zkladntext"/>
        <w:spacing w:before="113"/>
        <w:jc w:val="center"/>
        <w:rPr>
          <w:b/>
          <w:bCs/>
          <w:sz w:val="28"/>
          <w:szCs w:val="28"/>
          <w:lang w:val="en-GB"/>
        </w:rPr>
      </w:pPr>
      <w:bookmarkStart w:id="0" w:name="Podmienky_a_pravidlá_prijímacieho_konani"/>
      <w:bookmarkEnd w:id="0"/>
      <w:r w:rsidRPr="00603175">
        <w:rPr>
          <w:b/>
          <w:bCs/>
          <w:sz w:val="28"/>
          <w:szCs w:val="28"/>
          <w:lang w:val="en-GB"/>
        </w:rPr>
        <w:t>Terms and Conditions of the Admission Process for First-Cycle Higher Education (Bachelor's Degree) in the "</w:t>
      </w:r>
      <w:r w:rsidRPr="00603175">
        <w:t xml:space="preserve"> </w:t>
      </w:r>
      <w:r w:rsidRPr="00603175">
        <w:rPr>
          <w:b/>
          <w:bCs/>
          <w:sz w:val="28"/>
          <w:szCs w:val="28"/>
          <w:lang w:val="en-GB"/>
        </w:rPr>
        <w:t>Information and Management Systems in Production Engineering " Study Program at the Faculty of Engineering, SUA in Nitra, for the Academic Year 2026/2027</w:t>
      </w:r>
    </w:p>
    <w:p w14:paraId="2162052F" w14:textId="77777777" w:rsidR="00603175" w:rsidRPr="00603175" w:rsidRDefault="00603175" w:rsidP="00603175">
      <w:pPr>
        <w:pStyle w:val="Zkladntext"/>
        <w:spacing w:before="113"/>
        <w:jc w:val="center"/>
        <w:rPr>
          <w:b/>
          <w:sz w:val="28"/>
          <w:lang w:val="en-GB"/>
        </w:rPr>
      </w:pPr>
    </w:p>
    <w:p w14:paraId="45D2100F" w14:textId="77777777" w:rsidR="00603175" w:rsidRPr="00603175" w:rsidRDefault="00603175" w:rsidP="00603175">
      <w:pPr>
        <w:pStyle w:val="Zkladntext"/>
        <w:spacing w:before="1"/>
        <w:ind w:left="145" w:right="253" w:hanging="10"/>
        <w:jc w:val="both"/>
        <w:rPr>
          <w:b/>
          <w:bCs/>
          <w:lang w:val="en-GB"/>
        </w:rPr>
      </w:pPr>
      <w:bookmarkStart w:id="1" w:name="ZÁKLADNÉ_PODMIENKY_PRIJATIA_NA_ŠTÚDIUM"/>
      <w:bookmarkEnd w:id="1"/>
      <w:r w:rsidRPr="00603175">
        <w:rPr>
          <w:b/>
          <w:bCs/>
          <w:lang w:val="en-GB"/>
        </w:rPr>
        <w:t>BASIC ADMISSION REQUIREMENTS</w:t>
      </w:r>
    </w:p>
    <w:p w14:paraId="7B038248" w14:textId="045C1551" w:rsidR="008A652C" w:rsidRDefault="00603175" w:rsidP="00603175">
      <w:pPr>
        <w:pStyle w:val="Zkladntext"/>
        <w:tabs>
          <w:tab w:val="left" w:pos="9072"/>
        </w:tabs>
        <w:spacing w:before="1"/>
        <w:ind w:right="253" w:hanging="10"/>
        <w:jc w:val="both"/>
        <w:rPr>
          <w:lang w:val="en-GB"/>
        </w:rPr>
      </w:pPr>
      <w:r w:rsidRPr="00603175">
        <w:rPr>
          <w:lang w:val="en-GB"/>
        </w:rPr>
        <w:t>The fundamental requirement for admission to Bachelor's degree studies is the attainment of full secondary education or full secondary vocational education (completion of secondary school with a school-leaving examination/Matura).</w:t>
      </w:r>
    </w:p>
    <w:p w14:paraId="103B277B" w14:textId="77777777" w:rsidR="00603175" w:rsidRPr="00603175" w:rsidRDefault="00603175" w:rsidP="00603175">
      <w:pPr>
        <w:pStyle w:val="Zkladntext"/>
        <w:tabs>
          <w:tab w:val="left" w:pos="9072"/>
        </w:tabs>
        <w:spacing w:before="1"/>
        <w:ind w:right="253" w:hanging="10"/>
        <w:jc w:val="both"/>
        <w:rPr>
          <w:lang w:val="en-GB"/>
        </w:rPr>
      </w:pPr>
    </w:p>
    <w:p w14:paraId="041979B8" w14:textId="77777777" w:rsidR="00603175" w:rsidRPr="00603175" w:rsidRDefault="00603175" w:rsidP="00603175">
      <w:pPr>
        <w:tabs>
          <w:tab w:val="left" w:pos="1591"/>
        </w:tabs>
        <w:ind w:right="244"/>
        <w:rPr>
          <w:b/>
          <w:bCs/>
          <w:lang w:val="en-GB"/>
        </w:rPr>
      </w:pPr>
      <w:bookmarkStart w:id="2" w:name="ĎALŠIE_PODMIENKY_PRIJATIA_NA_ŠTÚDIUM"/>
      <w:bookmarkEnd w:id="2"/>
      <w:r w:rsidRPr="00603175">
        <w:rPr>
          <w:b/>
          <w:bCs/>
          <w:lang w:val="en-GB"/>
        </w:rPr>
        <w:t>ADDITIONAL ADMISSION CONDITIONS</w:t>
      </w:r>
    </w:p>
    <w:p w14:paraId="605F4549" w14:textId="484A42DA" w:rsidR="00603175" w:rsidRPr="00603175" w:rsidRDefault="00603175" w:rsidP="00603175">
      <w:pPr>
        <w:pStyle w:val="Odsekzoznamu"/>
        <w:numPr>
          <w:ilvl w:val="0"/>
          <w:numId w:val="10"/>
        </w:numPr>
        <w:tabs>
          <w:tab w:val="left" w:pos="1591"/>
        </w:tabs>
        <w:ind w:right="244"/>
        <w:rPr>
          <w:lang w:val="en-GB"/>
        </w:rPr>
      </w:pPr>
      <w:r w:rsidRPr="00603175">
        <w:rPr>
          <w:lang w:val="en-GB"/>
        </w:rPr>
        <w:t>Applicants for study will be ranked according to the results of the evaluation criteria specified in the annex. For the Information and Management Systems in Production Engineering study program, an applicant may be admitted if they achieve at least a minimum aggregate score of 105 points, calculated from the school-leaving examination (Matura) and the grade point average in Mathematics and Physics obtained during individual years of secondary school.</w:t>
      </w:r>
    </w:p>
    <w:p w14:paraId="2E0A2201" w14:textId="7628ADB6" w:rsidR="006268C3" w:rsidRDefault="00603175" w:rsidP="00603175">
      <w:pPr>
        <w:pStyle w:val="Odsekzoznamu"/>
        <w:numPr>
          <w:ilvl w:val="0"/>
          <w:numId w:val="10"/>
        </w:numPr>
        <w:tabs>
          <w:tab w:val="left" w:pos="1591"/>
        </w:tabs>
        <w:ind w:right="244"/>
        <w:rPr>
          <w:lang w:val="en-GB"/>
        </w:rPr>
      </w:pPr>
      <w:r w:rsidRPr="00603175">
        <w:rPr>
          <w:lang w:val="en-GB"/>
        </w:rPr>
        <w:t>Upon request, applicants with specific needs will have the form and method of their entrance examination determined based on an assessment of their requirements, taking their specific needs into account.</w:t>
      </w:r>
      <w:r w:rsidR="006268C3" w:rsidRPr="00603175">
        <w:rPr>
          <w:lang w:val="en-GB"/>
        </w:rPr>
        <w:t> </w:t>
      </w:r>
      <w:bookmarkStart w:id="3" w:name="VŠEOBECNÉ_ÚDAJE_O_PRIJÍMACOM_KONANÍ"/>
      <w:bookmarkEnd w:id="3"/>
    </w:p>
    <w:p w14:paraId="1A964DF2" w14:textId="77777777" w:rsidR="00603175" w:rsidRPr="00603175" w:rsidRDefault="00603175" w:rsidP="00603175">
      <w:pPr>
        <w:pStyle w:val="Odsekzoznamu"/>
        <w:tabs>
          <w:tab w:val="left" w:pos="1591"/>
        </w:tabs>
        <w:ind w:left="720" w:right="244" w:firstLine="0"/>
        <w:rPr>
          <w:lang w:val="en-GB"/>
        </w:rPr>
      </w:pPr>
    </w:p>
    <w:p w14:paraId="453C38C4" w14:textId="77777777" w:rsidR="00603175" w:rsidRPr="00603175" w:rsidRDefault="00603175" w:rsidP="00603175">
      <w:pPr>
        <w:pStyle w:val="Zkladntext"/>
        <w:spacing w:before="5"/>
        <w:rPr>
          <w:b/>
          <w:bCs/>
          <w:lang w:val="en-GB"/>
        </w:rPr>
      </w:pPr>
      <w:r w:rsidRPr="00603175">
        <w:rPr>
          <w:b/>
          <w:bCs/>
          <w:lang w:val="en-GB"/>
        </w:rPr>
        <w:t>GENERAL INFORMATION ON THE ADMISSION PROCESS</w:t>
      </w:r>
    </w:p>
    <w:p w14:paraId="325A81D5" w14:textId="77777777" w:rsidR="00603175" w:rsidRPr="00603175" w:rsidRDefault="00603175" w:rsidP="00603175">
      <w:pPr>
        <w:pStyle w:val="Zkladntext"/>
        <w:numPr>
          <w:ilvl w:val="0"/>
          <w:numId w:val="11"/>
        </w:numPr>
        <w:spacing w:before="5"/>
        <w:jc w:val="both"/>
        <w:rPr>
          <w:lang w:val="en-GB"/>
        </w:rPr>
      </w:pPr>
      <w:r w:rsidRPr="00603175">
        <w:rPr>
          <w:lang w:val="en-GB"/>
        </w:rPr>
        <w:t>A single application allows an applicant to apply for two study programs within a single admission procedure fee.</w:t>
      </w:r>
    </w:p>
    <w:p w14:paraId="55339EEC" w14:textId="77777777" w:rsidR="00603175" w:rsidRPr="00603175" w:rsidRDefault="00603175" w:rsidP="00603175">
      <w:pPr>
        <w:pStyle w:val="Zkladntext"/>
        <w:numPr>
          <w:ilvl w:val="0"/>
          <w:numId w:val="11"/>
        </w:numPr>
        <w:spacing w:before="5"/>
        <w:jc w:val="both"/>
        <w:rPr>
          <w:lang w:val="en-GB"/>
        </w:rPr>
      </w:pPr>
      <w:r w:rsidRPr="00603175">
        <w:rPr>
          <w:lang w:val="en-GB"/>
        </w:rPr>
        <w:t>The Faculty of Engineering may admit applicants without an entrance examination or a personal interview, based on the results achieved in the school-leaving examination (Matura).</w:t>
      </w:r>
    </w:p>
    <w:p w14:paraId="386495B5" w14:textId="77777777" w:rsidR="00603175" w:rsidRPr="00603175" w:rsidRDefault="00603175" w:rsidP="00603175">
      <w:pPr>
        <w:pStyle w:val="Zkladntext"/>
        <w:numPr>
          <w:ilvl w:val="0"/>
          <w:numId w:val="11"/>
        </w:numPr>
        <w:spacing w:before="5"/>
        <w:jc w:val="both"/>
        <w:rPr>
          <w:lang w:val="en-GB"/>
        </w:rPr>
      </w:pPr>
      <w:r w:rsidRPr="00603175">
        <w:rPr>
          <w:lang w:val="en-GB"/>
        </w:rPr>
        <w:t>Applicants shall attach a Curriculum Vitae (CV), a copy of their School-Leaving Certificate, and proof of payment of the admission administration fee to their electronic application.</w:t>
      </w:r>
    </w:p>
    <w:p w14:paraId="05D00FA8" w14:textId="77777777" w:rsidR="00603175" w:rsidRPr="00603175" w:rsidRDefault="00603175" w:rsidP="00603175">
      <w:pPr>
        <w:pStyle w:val="Zkladntext"/>
        <w:numPr>
          <w:ilvl w:val="0"/>
          <w:numId w:val="11"/>
        </w:numPr>
        <w:spacing w:before="5"/>
        <w:jc w:val="both"/>
        <w:rPr>
          <w:lang w:val="en-GB"/>
        </w:rPr>
      </w:pPr>
      <w:r w:rsidRPr="00603175">
        <w:rPr>
          <w:lang w:val="en-GB"/>
        </w:rPr>
        <w:t>A certified copy of the School-Leaving Certificate must be sent to the Study Department of the Faculty of Engineering at the following address:</w:t>
      </w:r>
    </w:p>
    <w:p w14:paraId="1A64C19E" w14:textId="4CC7AEBB" w:rsidR="008A652C" w:rsidRPr="00603175" w:rsidRDefault="00FD253C" w:rsidP="00257348">
      <w:pPr>
        <w:pStyle w:val="Zkladntext"/>
        <w:spacing w:before="5"/>
        <w:jc w:val="center"/>
        <w:rPr>
          <w:b/>
          <w:color w:val="000000" w:themeColor="text1"/>
          <w:lang w:val="en-GB"/>
        </w:rPr>
      </w:pPr>
      <w:r w:rsidRPr="00603175">
        <w:rPr>
          <w:b/>
          <w:color w:val="000000" w:themeColor="text1"/>
          <w:lang w:val="en-GB"/>
        </w:rPr>
        <w:t xml:space="preserve">            Andrea Homolová</w:t>
      </w:r>
    </w:p>
    <w:p w14:paraId="26648631" w14:textId="00EB42DB" w:rsidR="008A652C" w:rsidRPr="00603175" w:rsidRDefault="00603175">
      <w:pPr>
        <w:pStyle w:val="Nadpis3"/>
        <w:spacing w:line="237" w:lineRule="auto"/>
        <w:ind w:left="2979" w:right="2374"/>
        <w:jc w:val="center"/>
        <w:rPr>
          <w:color w:val="000000" w:themeColor="text1"/>
          <w:lang w:val="en-GB"/>
        </w:rPr>
      </w:pPr>
      <w:bookmarkStart w:id="4" w:name="Študijné_oddelenie_FEŠRR_SPU_v_Nitre_Mon"/>
      <w:bookmarkEnd w:id="4"/>
      <w:r>
        <w:rPr>
          <w:lang w:val="en-GB"/>
        </w:rPr>
        <w:t>Study department Faculty of Engineering SUA in Nitra</w:t>
      </w:r>
      <w:r w:rsidR="00CC7099" w:rsidRPr="00603175">
        <w:rPr>
          <w:color w:val="000000" w:themeColor="text1"/>
          <w:lang w:val="en-GB"/>
        </w:rPr>
        <w:t xml:space="preserve"> </w:t>
      </w:r>
    </w:p>
    <w:p w14:paraId="797CDDB0" w14:textId="77777777" w:rsidR="008A652C" w:rsidRPr="00603175" w:rsidRDefault="00CC7099">
      <w:pPr>
        <w:spacing w:before="3" w:line="237" w:lineRule="auto"/>
        <w:ind w:left="4210" w:right="3608"/>
        <w:jc w:val="center"/>
        <w:rPr>
          <w:b/>
          <w:i/>
          <w:iCs/>
          <w:color w:val="000000" w:themeColor="text1"/>
          <w:lang w:val="en-GB"/>
        </w:rPr>
      </w:pPr>
      <w:r w:rsidRPr="00603175">
        <w:rPr>
          <w:b/>
          <w:i/>
          <w:iCs/>
          <w:color w:val="000000" w:themeColor="text1"/>
          <w:lang w:val="en-GB"/>
        </w:rPr>
        <w:t>Tr.</w:t>
      </w:r>
      <w:r w:rsidRPr="00603175">
        <w:rPr>
          <w:b/>
          <w:i/>
          <w:iCs/>
          <w:color w:val="000000" w:themeColor="text1"/>
          <w:spacing w:val="-13"/>
          <w:lang w:val="en-GB"/>
        </w:rPr>
        <w:t xml:space="preserve"> </w:t>
      </w:r>
      <w:r w:rsidRPr="00603175">
        <w:rPr>
          <w:b/>
          <w:i/>
          <w:iCs/>
          <w:color w:val="000000" w:themeColor="text1"/>
          <w:lang w:val="en-GB"/>
        </w:rPr>
        <w:t>A.</w:t>
      </w:r>
      <w:r w:rsidRPr="00603175">
        <w:rPr>
          <w:b/>
          <w:i/>
          <w:iCs/>
          <w:color w:val="000000" w:themeColor="text1"/>
          <w:spacing w:val="-12"/>
          <w:lang w:val="en-GB"/>
        </w:rPr>
        <w:t xml:space="preserve"> </w:t>
      </w:r>
      <w:r w:rsidRPr="00603175">
        <w:rPr>
          <w:b/>
          <w:i/>
          <w:iCs/>
          <w:color w:val="000000" w:themeColor="text1"/>
          <w:lang w:val="en-GB"/>
        </w:rPr>
        <w:t>Hlinku</w:t>
      </w:r>
      <w:r w:rsidRPr="00603175">
        <w:rPr>
          <w:b/>
          <w:i/>
          <w:iCs/>
          <w:color w:val="000000" w:themeColor="text1"/>
          <w:spacing w:val="-15"/>
          <w:lang w:val="en-GB"/>
        </w:rPr>
        <w:t xml:space="preserve"> </w:t>
      </w:r>
      <w:r w:rsidRPr="00603175">
        <w:rPr>
          <w:b/>
          <w:i/>
          <w:iCs/>
          <w:color w:val="000000" w:themeColor="text1"/>
          <w:lang w:val="en-GB"/>
        </w:rPr>
        <w:t>2 949 76 Nitra</w:t>
      </w:r>
    </w:p>
    <w:p w14:paraId="4651AB9D" w14:textId="77777777" w:rsidR="008A652C" w:rsidRPr="00603175" w:rsidRDefault="008A652C">
      <w:pPr>
        <w:spacing w:line="237" w:lineRule="auto"/>
        <w:jc w:val="center"/>
        <w:rPr>
          <w:lang w:val="en-GB"/>
        </w:rPr>
        <w:sectPr w:rsidR="008A652C" w:rsidRPr="00603175">
          <w:footerReference w:type="default" r:id="rId11"/>
          <w:type w:val="continuous"/>
          <w:pgSz w:w="11920" w:h="16850"/>
          <w:pgMar w:top="1400" w:right="1280" w:bottom="1260" w:left="1280" w:header="0" w:footer="1060" w:gutter="0"/>
          <w:pgNumType w:start="1"/>
          <w:cols w:space="708"/>
        </w:sectPr>
      </w:pPr>
    </w:p>
    <w:p w14:paraId="107A2449"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lastRenderedPageBreak/>
        <w:t>Following the admission procedure, applicants will receive a decision on the admission results within 30 days of the verification of their eligibility for admission. An applicant who has not yet met the educational requirement (Matura) at the time of the admission committee's session may be provisionally admitted.</w:t>
      </w:r>
    </w:p>
    <w:p w14:paraId="38CEB347"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t>An applicant admitted to a study program is required to inform the Faculty of Engineering whether they intend to enroll, following the written instructions received alongside the admission decision (an electronic return-slip is part of the decision).</w:t>
      </w:r>
    </w:p>
    <w:p w14:paraId="6CC06B74"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t>The applicant's personal data (name, surname, personal identification number, address, etc.) will be processed in accordance with the Personal Data Protection Act No. 18/2018 Coll. solely for the purposes of the admission process and shall not be disclosed for other purposes.</w:t>
      </w:r>
    </w:p>
    <w:p w14:paraId="2CE737FA"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t>The Dean may accept the results of admission procedures from other faculties of the Slovak University of Agriculture in Nitra or other higher education institutions.</w:t>
      </w:r>
    </w:p>
    <w:p w14:paraId="3D5B4EF5"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t>The Dean may offer applicants who did not rank high enough for their chosen study program the option of admission to an alternative program with a lower number of applicants.</w:t>
      </w:r>
    </w:p>
    <w:p w14:paraId="72F0DE60" w14:textId="77777777" w:rsidR="00603175" w:rsidRPr="00603175" w:rsidRDefault="00603175" w:rsidP="00603175">
      <w:pPr>
        <w:pStyle w:val="Odsekzoznamu"/>
        <w:numPr>
          <w:ilvl w:val="0"/>
          <w:numId w:val="12"/>
        </w:numPr>
        <w:tabs>
          <w:tab w:val="left" w:pos="854"/>
        </w:tabs>
        <w:ind w:right="252"/>
        <w:rPr>
          <w:lang w:val="en-GB"/>
        </w:rPr>
      </w:pPr>
      <w:r w:rsidRPr="00603175">
        <w:rPr>
          <w:lang w:val="en-GB"/>
        </w:rPr>
        <w:t>The Faculty of Engineering reserves the right not to open a study program if the number of applicants is insufficient. In such a case, the Faculty of Engineering will offer the applicant another accredited study program. If the applicant is not interested in the alternative program, the application, including all attachments and the admission fee, will be refunded to the applicant.</w:t>
      </w:r>
    </w:p>
    <w:p w14:paraId="061885DF" w14:textId="77777777" w:rsidR="008B37D0" w:rsidRPr="00603175" w:rsidRDefault="008B37D0" w:rsidP="00603175">
      <w:pPr>
        <w:pStyle w:val="Odsekzoznamu"/>
        <w:tabs>
          <w:tab w:val="left" w:pos="854"/>
        </w:tabs>
        <w:ind w:right="252" w:firstLine="0"/>
        <w:rPr>
          <w:lang w:val="en-GB"/>
        </w:rPr>
      </w:pPr>
    </w:p>
    <w:p w14:paraId="5826C406" w14:textId="77777777" w:rsidR="008A652C" w:rsidRPr="00603175" w:rsidRDefault="008A652C">
      <w:pPr>
        <w:pStyle w:val="Zkladntext"/>
        <w:spacing w:before="119"/>
        <w:rPr>
          <w:lang w:val="en-GB"/>
        </w:rPr>
      </w:pPr>
    </w:p>
    <w:p w14:paraId="09D11539" w14:textId="77777777" w:rsidR="00603175" w:rsidRPr="00603175" w:rsidRDefault="00603175" w:rsidP="00603175">
      <w:pPr>
        <w:pStyle w:val="Nadpis2"/>
        <w:spacing w:before="33" w:after="39"/>
        <w:rPr>
          <w:lang w:val="en-GB"/>
        </w:rPr>
      </w:pPr>
      <w:bookmarkStart w:id="5" w:name="INFORMÁCIE_PRE_ZAHRANIČNÝCH_UCHÁDZAČOV"/>
      <w:bookmarkEnd w:id="5"/>
      <w:r w:rsidRPr="00603175">
        <w:rPr>
          <w:lang w:val="en-GB"/>
        </w:rPr>
        <w:t>INFORMATION FOR INTERNATIONAL APPLICANTS</w:t>
      </w:r>
    </w:p>
    <w:p w14:paraId="3527E075" w14:textId="77777777" w:rsidR="00603175" w:rsidRPr="00603175" w:rsidRDefault="00603175" w:rsidP="00603175">
      <w:pPr>
        <w:pStyle w:val="Nadpis2"/>
        <w:spacing w:before="33" w:after="39"/>
        <w:jc w:val="both"/>
        <w:rPr>
          <w:b w:val="0"/>
          <w:bCs w:val="0"/>
          <w:lang w:val="en-GB"/>
        </w:rPr>
      </w:pPr>
      <w:r w:rsidRPr="00603175">
        <w:rPr>
          <w:b w:val="0"/>
          <w:bCs w:val="0"/>
          <w:lang w:val="en-GB"/>
        </w:rPr>
        <w:t>International applicants shall generate a recognition statement via the following link: https://uznavanie.minedu.sk/recognition-statement/ in the section "Statement on the Recognition of the Level of Education".</w:t>
      </w:r>
    </w:p>
    <w:p w14:paraId="55DABD8C" w14:textId="77777777" w:rsidR="00603175" w:rsidRPr="00603175" w:rsidRDefault="00603175" w:rsidP="00603175">
      <w:pPr>
        <w:pStyle w:val="Nadpis2"/>
        <w:spacing w:before="33" w:after="39"/>
        <w:jc w:val="both"/>
        <w:rPr>
          <w:b w:val="0"/>
          <w:bCs w:val="0"/>
          <w:lang w:val="en-GB"/>
        </w:rPr>
      </w:pPr>
      <w:r w:rsidRPr="00603175">
        <w:rPr>
          <w:b w:val="0"/>
          <w:bCs w:val="0"/>
          <w:lang w:val="en-GB"/>
        </w:rPr>
        <w:t>International applicants (with the exception of applicants from the Czech Republic and applicants who passed the school-leaving examination in the Slovak language) applying for a study program provided by the SUA in Nitra in the Slovak language are required to complete an online test and an online oral interview to determine their level of proficiency in the Slovak language. The testing is administered by the Language Centre of the SUA in Nitra (https://cj.uniag.sk/sk/domov/) in two sessions, about which applicants will be informed in advance.</w:t>
      </w:r>
    </w:p>
    <w:p w14:paraId="43A683EB" w14:textId="77777777" w:rsidR="00603175" w:rsidRPr="00603175" w:rsidRDefault="00603175" w:rsidP="00603175">
      <w:pPr>
        <w:pStyle w:val="Nadpis2"/>
        <w:spacing w:before="33" w:after="39"/>
        <w:jc w:val="both"/>
        <w:rPr>
          <w:b w:val="0"/>
          <w:bCs w:val="0"/>
          <w:lang w:val="en-GB"/>
        </w:rPr>
      </w:pPr>
      <w:r w:rsidRPr="00603175">
        <w:rPr>
          <w:b w:val="0"/>
          <w:bCs w:val="0"/>
          <w:lang w:val="en-GB"/>
        </w:rPr>
        <w:t>Following the language examination, the applicant will be issued a certificate of the aggregate result of the online test and online interview, corresponding to the language levels of the Common European Framework of Reference for Languages (CEFR). The test and the certificate are subject to a fee of €30. If the applicant's language proficiency level is lower than A1, the applicant will not be admitted to the study program. If the applicant's language proficiency level is A1, the applicant has met one of the admission conditions; however, they are obligated to complete a 30-hour paid Slovak language course organized by the Language Centre of the SUA in Nitra (course fee: €120). The course will take place from August 24, 2026, to September 4, 2026. Upon completion of the course, the applicant will be issued a certificate of completion. If the applicant's language proficiency level is A2 or higher, the applicant has met one of the conditions for admission.</w:t>
      </w:r>
    </w:p>
    <w:p w14:paraId="661FA2F7" w14:textId="77777777" w:rsidR="00603175" w:rsidRPr="00603175" w:rsidRDefault="00603175" w:rsidP="00603175">
      <w:pPr>
        <w:pStyle w:val="Nadpis2"/>
        <w:spacing w:before="33" w:after="39"/>
        <w:jc w:val="both"/>
        <w:rPr>
          <w:b w:val="0"/>
          <w:bCs w:val="0"/>
          <w:lang w:val="en-GB"/>
        </w:rPr>
      </w:pPr>
      <w:r w:rsidRPr="00603175">
        <w:rPr>
          <w:b w:val="0"/>
          <w:bCs w:val="0"/>
          <w:lang w:val="en-GB"/>
        </w:rPr>
        <w:t>Detailed information regarding the test and the course will be available on the Language Centre website (https://cj.uniag.sk/sk/domov/).</w:t>
      </w:r>
    </w:p>
    <w:p w14:paraId="66BBBA57" w14:textId="77777777" w:rsidR="00603175" w:rsidRPr="00603175" w:rsidRDefault="00603175" w:rsidP="00603175">
      <w:pPr>
        <w:pStyle w:val="Nadpis2"/>
        <w:spacing w:before="33" w:after="39"/>
        <w:rPr>
          <w:lang w:val="en-GB"/>
        </w:rPr>
      </w:pPr>
    </w:p>
    <w:p w14:paraId="25B81564" w14:textId="4AE888ED" w:rsidR="008A652C" w:rsidRPr="00603175" w:rsidRDefault="00603175" w:rsidP="00603175">
      <w:pPr>
        <w:pStyle w:val="Nadpis2"/>
        <w:spacing w:before="33" w:after="39"/>
        <w:rPr>
          <w:lang w:val="en-GB"/>
        </w:rPr>
      </w:pPr>
      <w:r w:rsidRPr="00603175">
        <w:rPr>
          <w:lang w:val="en-GB"/>
        </w:rPr>
        <w:t>ESTIMATED NUMBER OF ADMITTED STUDENTS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7"/>
        <w:gridCol w:w="2580"/>
        <w:gridCol w:w="1452"/>
        <w:gridCol w:w="2101"/>
      </w:tblGrid>
      <w:tr w:rsidR="00D158E8" w:rsidRPr="00603175" w14:paraId="598E5B99" w14:textId="77777777" w:rsidTr="00603175">
        <w:trPr>
          <w:trHeight w:val="537"/>
        </w:trPr>
        <w:tc>
          <w:tcPr>
            <w:tcW w:w="1727" w:type="pct"/>
          </w:tcPr>
          <w:p w14:paraId="2219773F" w14:textId="09ACC737" w:rsidR="00D158E8" w:rsidRPr="00603175" w:rsidRDefault="00603175">
            <w:pPr>
              <w:pStyle w:val="TableParagraph"/>
              <w:spacing w:before="9" w:line="254" w:lineRule="exact"/>
              <w:ind w:left="112" w:right="150"/>
              <w:jc w:val="left"/>
              <w:rPr>
                <w:b/>
                <w:lang w:val="en-GB"/>
              </w:rPr>
            </w:pPr>
            <w:r w:rsidRPr="00603175">
              <w:rPr>
                <w:b/>
                <w:spacing w:val="-4"/>
                <w:lang w:val="en-GB"/>
              </w:rPr>
              <w:t>BACHELOR'S STUDIES</w:t>
            </w:r>
          </w:p>
        </w:tc>
        <w:tc>
          <w:tcPr>
            <w:tcW w:w="1377" w:type="pct"/>
          </w:tcPr>
          <w:p w14:paraId="46005E2A" w14:textId="339B7B42" w:rsidR="00D158E8" w:rsidRPr="00603175" w:rsidRDefault="00603175">
            <w:pPr>
              <w:pStyle w:val="TableParagraph"/>
              <w:spacing w:before="9" w:line="254" w:lineRule="exact"/>
              <w:ind w:left="369" w:right="356" w:firstLine="4"/>
              <w:jc w:val="left"/>
              <w:rPr>
                <w:b/>
                <w:lang w:val="en-GB"/>
              </w:rPr>
            </w:pPr>
            <w:r w:rsidRPr="00603175">
              <w:rPr>
                <w:b/>
                <w:spacing w:val="-4"/>
                <w:lang w:val="en-GB"/>
              </w:rPr>
              <w:t>Study Mode</w:t>
            </w:r>
          </w:p>
        </w:tc>
        <w:tc>
          <w:tcPr>
            <w:tcW w:w="775" w:type="pct"/>
          </w:tcPr>
          <w:p w14:paraId="258377A5" w14:textId="450DF136" w:rsidR="00D158E8" w:rsidRPr="00603175" w:rsidRDefault="00603175">
            <w:pPr>
              <w:pStyle w:val="TableParagraph"/>
              <w:spacing w:before="0" w:line="252" w:lineRule="exact"/>
              <w:ind w:left="251" w:right="0"/>
              <w:jc w:val="left"/>
              <w:rPr>
                <w:b/>
                <w:lang w:val="en-GB"/>
              </w:rPr>
            </w:pPr>
            <w:r w:rsidRPr="00603175">
              <w:rPr>
                <w:b/>
                <w:spacing w:val="-2"/>
                <w:lang w:val="en-GB"/>
              </w:rPr>
              <w:t>Duration of Study</w:t>
            </w:r>
          </w:p>
        </w:tc>
        <w:tc>
          <w:tcPr>
            <w:tcW w:w="1121" w:type="pct"/>
          </w:tcPr>
          <w:p w14:paraId="55131EB8" w14:textId="08C10A44" w:rsidR="00D158E8" w:rsidRPr="00603175" w:rsidRDefault="00603175">
            <w:pPr>
              <w:pStyle w:val="TableParagraph"/>
              <w:spacing w:before="0" w:line="252" w:lineRule="exact"/>
              <w:ind w:left="23" w:right="8"/>
              <w:rPr>
                <w:b/>
                <w:lang w:val="en-GB"/>
              </w:rPr>
            </w:pPr>
            <w:r w:rsidRPr="00603175">
              <w:rPr>
                <w:b/>
                <w:spacing w:val="-2"/>
                <w:lang w:val="en-GB"/>
              </w:rPr>
              <w:t>Planned Number of Students</w:t>
            </w:r>
          </w:p>
        </w:tc>
      </w:tr>
      <w:tr w:rsidR="00D158E8" w:rsidRPr="00603175" w14:paraId="2D779DB8" w14:textId="77777777" w:rsidTr="00603175">
        <w:trPr>
          <w:trHeight w:val="537"/>
        </w:trPr>
        <w:tc>
          <w:tcPr>
            <w:tcW w:w="1727" w:type="pct"/>
          </w:tcPr>
          <w:p w14:paraId="455CE5DB" w14:textId="1ACEAEA9" w:rsidR="00D158E8" w:rsidRPr="00603175" w:rsidRDefault="00603175" w:rsidP="007132B5">
            <w:pPr>
              <w:pStyle w:val="TableParagraph"/>
              <w:spacing w:before="0" w:line="253" w:lineRule="exact"/>
              <w:ind w:left="112" w:right="0"/>
              <w:jc w:val="left"/>
              <w:rPr>
                <w:i/>
                <w:iCs/>
                <w:lang w:val="en-GB"/>
              </w:rPr>
            </w:pPr>
            <w:r w:rsidRPr="00603175">
              <w:rPr>
                <w:i/>
                <w:iCs/>
                <w:lang w:val="en-GB"/>
              </w:rPr>
              <w:t>Information and Management Systems in Production Engineering</w:t>
            </w:r>
          </w:p>
        </w:tc>
        <w:tc>
          <w:tcPr>
            <w:tcW w:w="1377" w:type="pct"/>
          </w:tcPr>
          <w:p w14:paraId="2943D926" w14:textId="43857E49" w:rsidR="00D158E8" w:rsidRPr="00603175" w:rsidRDefault="00603175">
            <w:pPr>
              <w:pStyle w:val="TableParagraph"/>
              <w:spacing w:before="0" w:line="253" w:lineRule="exact"/>
              <w:ind w:left="307" w:right="0"/>
              <w:jc w:val="left"/>
              <w:rPr>
                <w:lang w:val="en-GB"/>
              </w:rPr>
            </w:pPr>
            <w:r w:rsidRPr="00603175">
              <w:rPr>
                <w:lang w:val="en-GB"/>
              </w:rPr>
              <w:t>Full-time / Full-time (combined method)</w:t>
            </w:r>
          </w:p>
        </w:tc>
        <w:tc>
          <w:tcPr>
            <w:tcW w:w="775" w:type="pct"/>
          </w:tcPr>
          <w:p w14:paraId="2AEE557B" w14:textId="30B9D5FE" w:rsidR="00D158E8" w:rsidRPr="00603175" w:rsidRDefault="00D158E8">
            <w:pPr>
              <w:pStyle w:val="TableParagraph"/>
              <w:spacing w:before="128" w:line="240" w:lineRule="auto"/>
              <w:ind w:left="31" w:right="0"/>
              <w:rPr>
                <w:lang w:val="en-GB"/>
              </w:rPr>
            </w:pPr>
            <w:r w:rsidRPr="00603175">
              <w:rPr>
                <w:lang w:val="en-GB"/>
              </w:rPr>
              <w:t>3</w:t>
            </w:r>
            <w:r w:rsidRPr="00603175">
              <w:rPr>
                <w:spacing w:val="1"/>
                <w:lang w:val="en-GB"/>
              </w:rPr>
              <w:t xml:space="preserve"> </w:t>
            </w:r>
            <w:r w:rsidR="00603175">
              <w:rPr>
                <w:spacing w:val="1"/>
                <w:lang w:val="en-GB"/>
              </w:rPr>
              <w:t>years</w:t>
            </w:r>
          </w:p>
        </w:tc>
        <w:tc>
          <w:tcPr>
            <w:tcW w:w="1121" w:type="pct"/>
          </w:tcPr>
          <w:p w14:paraId="14521EE3" w14:textId="361F0191" w:rsidR="00D158E8" w:rsidRPr="00603175" w:rsidRDefault="001B1FF5">
            <w:pPr>
              <w:pStyle w:val="TableParagraph"/>
              <w:spacing w:before="128" w:line="240" w:lineRule="auto"/>
              <w:ind w:left="23" w:right="2"/>
              <w:rPr>
                <w:lang w:val="en-GB"/>
              </w:rPr>
            </w:pPr>
            <w:r w:rsidRPr="00603175">
              <w:rPr>
                <w:spacing w:val="-5"/>
                <w:lang w:val="en-GB"/>
              </w:rPr>
              <w:t>60</w:t>
            </w:r>
            <w:r w:rsidR="00D158E8" w:rsidRPr="00603175">
              <w:rPr>
                <w:spacing w:val="-5"/>
                <w:lang w:val="en-GB"/>
              </w:rPr>
              <w:t xml:space="preserve"> </w:t>
            </w:r>
            <w:r w:rsidR="00D158E8" w:rsidRPr="00603175">
              <w:rPr>
                <w:lang w:val="en-GB"/>
              </w:rPr>
              <w:t>/</w:t>
            </w:r>
            <w:r w:rsidR="00D158E8" w:rsidRPr="00603175">
              <w:rPr>
                <w:spacing w:val="-4"/>
                <w:lang w:val="en-GB"/>
              </w:rPr>
              <w:t xml:space="preserve"> </w:t>
            </w:r>
            <w:r w:rsidRPr="00603175">
              <w:rPr>
                <w:spacing w:val="-4"/>
                <w:lang w:val="en-GB"/>
              </w:rPr>
              <w:t>20</w:t>
            </w:r>
          </w:p>
        </w:tc>
      </w:tr>
    </w:tbl>
    <w:p w14:paraId="36A7C5C9" w14:textId="77777777" w:rsidR="00CE74D2" w:rsidRPr="00CE74D2" w:rsidRDefault="00CE74D2" w:rsidP="00CE74D2">
      <w:pPr>
        <w:pStyle w:val="Zkladntext"/>
        <w:rPr>
          <w:b/>
          <w:bCs/>
          <w:lang w:val="en-GB"/>
        </w:rPr>
      </w:pPr>
      <w:bookmarkStart w:id="6" w:name="Podanie_prihlášok_sa_realizuje_iba_elekt"/>
      <w:bookmarkEnd w:id="6"/>
      <w:r w:rsidRPr="00CE74D2">
        <w:rPr>
          <w:b/>
          <w:bCs/>
          <w:lang w:val="en-GB"/>
        </w:rPr>
        <w:lastRenderedPageBreak/>
        <w:t>APPLICATION SUBMISSION AND FEES</w:t>
      </w:r>
    </w:p>
    <w:p w14:paraId="5D5B7660" w14:textId="77777777" w:rsidR="00CE74D2" w:rsidRPr="00CE74D2" w:rsidRDefault="00CE74D2" w:rsidP="00CE74D2">
      <w:pPr>
        <w:pStyle w:val="Zkladntext"/>
        <w:rPr>
          <w:b/>
          <w:bCs/>
          <w:lang w:val="en-GB"/>
        </w:rPr>
      </w:pPr>
      <w:r w:rsidRPr="00CE74D2">
        <w:rPr>
          <w:lang w:val="en-GB"/>
        </w:rPr>
        <w:t>Applications must be submitted</w:t>
      </w:r>
      <w:r w:rsidRPr="00CE74D2">
        <w:rPr>
          <w:b/>
          <w:bCs/>
          <w:lang w:val="en-GB"/>
        </w:rPr>
        <w:t xml:space="preserve"> electronically only.</w:t>
      </w:r>
    </w:p>
    <w:p w14:paraId="18D93039" w14:textId="77777777" w:rsidR="00CE74D2" w:rsidRPr="00CE74D2" w:rsidRDefault="00CE74D2" w:rsidP="00CE74D2">
      <w:pPr>
        <w:pStyle w:val="Zkladntext"/>
        <w:numPr>
          <w:ilvl w:val="0"/>
          <w:numId w:val="13"/>
        </w:numPr>
        <w:rPr>
          <w:b/>
          <w:bCs/>
          <w:lang w:val="en-GB"/>
        </w:rPr>
      </w:pPr>
      <w:r w:rsidRPr="00CE74D2">
        <w:rPr>
          <w:b/>
          <w:bCs/>
          <w:lang w:val="en-GB"/>
        </w:rPr>
        <w:t xml:space="preserve">E-application deadline (1st Round): </w:t>
      </w:r>
      <w:r w:rsidRPr="00CE74D2">
        <w:rPr>
          <w:lang w:val="en-GB"/>
        </w:rPr>
        <w:t>by April 30, 2026</w:t>
      </w:r>
    </w:p>
    <w:p w14:paraId="5F1BAB09" w14:textId="77777777" w:rsidR="00CE74D2" w:rsidRPr="00CE74D2" w:rsidRDefault="00CE74D2" w:rsidP="00CE74D2">
      <w:pPr>
        <w:pStyle w:val="Zkladntext"/>
        <w:numPr>
          <w:ilvl w:val="0"/>
          <w:numId w:val="13"/>
        </w:numPr>
        <w:rPr>
          <w:b/>
          <w:bCs/>
          <w:lang w:val="en-GB"/>
        </w:rPr>
      </w:pPr>
      <w:r w:rsidRPr="00CE74D2">
        <w:rPr>
          <w:b/>
          <w:bCs/>
          <w:lang w:val="en-GB"/>
        </w:rPr>
        <w:t xml:space="preserve">E-application deadline (2nd Round): </w:t>
      </w:r>
      <w:r w:rsidRPr="00CE74D2">
        <w:rPr>
          <w:lang w:val="en-GB"/>
        </w:rPr>
        <w:t>by July 15, 2026</w:t>
      </w:r>
    </w:p>
    <w:p w14:paraId="437D582E" w14:textId="77777777" w:rsidR="00CE74D2" w:rsidRPr="00CE74D2" w:rsidRDefault="00CE74D2" w:rsidP="00CE74D2">
      <w:pPr>
        <w:pStyle w:val="Zkladntext"/>
        <w:numPr>
          <w:ilvl w:val="0"/>
          <w:numId w:val="13"/>
        </w:numPr>
        <w:rPr>
          <w:b/>
          <w:bCs/>
          <w:lang w:val="en-GB"/>
        </w:rPr>
      </w:pPr>
      <w:r w:rsidRPr="00CE74D2">
        <w:rPr>
          <w:b/>
          <w:bCs/>
          <w:lang w:val="en-GB"/>
        </w:rPr>
        <w:t xml:space="preserve">Admission Procedure Fee: </w:t>
      </w:r>
      <w:r w:rsidRPr="00CE74D2">
        <w:rPr>
          <w:lang w:val="en-GB"/>
        </w:rPr>
        <w:t>€45</w:t>
      </w:r>
    </w:p>
    <w:p w14:paraId="3AACA35E" w14:textId="77777777" w:rsidR="00CE74D2" w:rsidRPr="00CE74D2" w:rsidRDefault="00CE74D2" w:rsidP="00CE74D2">
      <w:pPr>
        <w:pStyle w:val="Zkladntext"/>
        <w:rPr>
          <w:b/>
          <w:bCs/>
          <w:lang w:val="en-GB"/>
        </w:rPr>
      </w:pPr>
    </w:p>
    <w:p w14:paraId="0C043201" w14:textId="77777777" w:rsidR="00CE74D2" w:rsidRPr="00CE74D2" w:rsidRDefault="00CE74D2" w:rsidP="00CE74D2">
      <w:pPr>
        <w:pStyle w:val="Zkladntext"/>
        <w:rPr>
          <w:b/>
          <w:bCs/>
          <w:lang w:val="en-GB"/>
        </w:rPr>
      </w:pPr>
      <w:r w:rsidRPr="00CE74D2">
        <w:rPr>
          <w:b/>
          <w:bCs/>
          <w:lang w:val="en-GB"/>
        </w:rPr>
        <w:t>Payment details for Internet Banking / Bank Transfer:</w:t>
      </w:r>
    </w:p>
    <w:p w14:paraId="17FF1693" w14:textId="77777777" w:rsidR="00CE74D2" w:rsidRPr="00CE74D2" w:rsidRDefault="00CE74D2" w:rsidP="00CE74D2">
      <w:pPr>
        <w:pStyle w:val="Zkladntext"/>
        <w:numPr>
          <w:ilvl w:val="0"/>
          <w:numId w:val="14"/>
        </w:numPr>
        <w:rPr>
          <w:b/>
          <w:bCs/>
          <w:lang w:val="en-GB"/>
        </w:rPr>
      </w:pPr>
      <w:r w:rsidRPr="00CE74D2">
        <w:rPr>
          <w:b/>
          <w:bCs/>
          <w:lang w:val="en-GB"/>
        </w:rPr>
        <w:t xml:space="preserve">IBAN: </w:t>
      </w:r>
      <w:r w:rsidRPr="00CE74D2">
        <w:rPr>
          <w:lang w:val="en-GB"/>
        </w:rPr>
        <w:t>SK40 8180 0000 0070 0006 6247</w:t>
      </w:r>
    </w:p>
    <w:p w14:paraId="3011C072" w14:textId="77777777" w:rsidR="00CE74D2" w:rsidRPr="00CE74D2" w:rsidRDefault="00CE74D2" w:rsidP="00CE74D2">
      <w:pPr>
        <w:pStyle w:val="Zkladntext"/>
        <w:numPr>
          <w:ilvl w:val="0"/>
          <w:numId w:val="14"/>
        </w:numPr>
        <w:rPr>
          <w:b/>
          <w:bCs/>
          <w:lang w:val="en-GB"/>
        </w:rPr>
      </w:pPr>
      <w:r w:rsidRPr="00CE74D2">
        <w:rPr>
          <w:b/>
          <w:bCs/>
          <w:lang w:val="en-GB"/>
        </w:rPr>
        <w:t xml:space="preserve">Constant Symbol (KS): </w:t>
      </w:r>
      <w:r w:rsidRPr="00CE74D2">
        <w:rPr>
          <w:lang w:val="en-GB"/>
        </w:rPr>
        <w:t>0558</w:t>
      </w:r>
    </w:p>
    <w:p w14:paraId="3410B459" w14:textId="77777777" w:rsidR="00CE74D2" w:rsidRPr="00CE74D2" w:rsidRDefault="00CE74D2" w:rsidP="00CE74D2">
      <w:pPr>
        <w:pStyle w:val="Zkladntext"/>
        <w:numPr>
          <w:ilvl w:val="0"/>
          <w:numId w:val="14"/>
        </w:numPr>
        <w:rPr>
          <w:b/>
          <w:bCs/>
          <w:lang w:val="en-GB"/>
        </w:rPr>
      </w:pPr>
      <w:r w:rsidRPr="00CE74D2">
        <w:rPr>
          <w:b/>
          <w:bCs/>
          <w:lang w:val="en-GB"/>
        </w:rPr>
        <w:t xml:space="preserve">Variable Symbol (VS): </w:t>
      </w:r>
      <w:r w:rsidRPr="00CE74D2">
        <w:rPr>
          <w:lang w:val="en-GB"/>
        </w:rPr>
        <w:t>103900</w:t>
      </w:r>
    </w:p>
    <w:p w14:paraId="7FE3997D" w14:textId="77777777" w:rsidR="00CE74D2" w:rsidRPr="00CE74D2" w:rsidRDefault="00CE74D2" w:rsidP="00CE74D2">
      <w:pPr>
        <w:pStyle w:val="Zkladntext"/>
        <w:numPr>
          <w:ilvl w:val="0"/>
          <w:numId w:val="14"/>
        </w:numPr>
        <w:rPr>
          <w:b/>
          <w:bCs/>
          <w:lang w:val="en-GB"/>
        </w:rPr>
      </w:pPr>
      <w:r w:rsidRPr="00CE74D2">
        <w:rPr>
          <w:b/>
          <w:bCs/>
          <w:lang w:val="en-GB"/>
        </w:rPr>
        <w:t xml:space="preserve">Specific Symbol (ŠS): </w:t>
      </w:r>
      <w:r w:rsidRPr="00CE74D2">
        <w:rPr>
          <w:lang w:val="en-GB"/>
        </w:rPr>
        <w:t>103900721</w:t>
      </w:r>
    </w:p>
    <w:p w14:paraId="59844479" w14:textId="77777777" w:rsidR="00CE74D2" w:rsidRPr="00CE74D2" w:rsidRDefault="00CE74D2" w:rsidP="00CE74D2">
      <w:pPr>
        <w:pStyle w:val="Zkladntext"/>
        <w:numPr>
          <w:ilvl w:val="0"/>
          <w:numId w:val="14"/>
        </w:numPr>
        <w:rPr>
          <w:b/>
          <w:bCs/>
          <w:lang w:val="en-GB"/>
        </w:rPr>
      </w:pPr>
      <w:r w:rsidRPr="00CE74D2">
        <w:rPr>
          <w:b/>
          <w:bCs/>
          <w:lang w:val="en-GB"/>
        </w:rPr>
        <w:t xml:space="preserve">Message for Recipient: </w:t>
      </w:r>
      <w:r w:rsidRPr="00CE74D2">
        <w:rPr>
          <w:lang w:val="en-GB"/>
        </w:rPr>
        <w:t>Surname and First Name of the applicant (please write without diacritics/accents)</w:t>
      </w:r>
    </w:p>
    <w:p w14:paraId="4243BDBC" w14:textId="77777777" w:rsidR="00CE74D2" w:rsidRPr="00CE74D2" w:rsidRDefault="00CE74D2" w:rsidP="00CE74D2">
      <w:pPr>
        <w:pStyle w:val="Zkladntext"/>
        <w:rPr>
          <w:b/>
          <w:bCs/>
          <w:lang w:val="en-GB"/>
        </w:rPr>
      </w:pPr>
    </w:p>
    <w:p w14:paraId="3BD29EBA" w14:textId="77777777" w:rsidR="00CE74D2" w:rsidRPr="00CE74D2" w:rsidRDefault="00CE74D2" w:rsidP="00CE74D2">
      <w:pPr>
        <w:pStyle w:val="Zkladntext"/>
        <w:rPr>
          <w:b/>
          <w:bCs/>
          <w:lang w:val="en-GB"/>
        </w:rPr>
      </w:pPr>
      <w:r w:rsidRPr="00CE74D2">
        <w:rPr>
          <w:b/>
          <w:bCs/>
          <w:lang w:val="en-GB"/>
        </w:rPr>
        <w:t>Beneficiary Information:</w:t>
      </w:r>
    </w:p>
    <w:p w14:paraId="1A201FB6" w14:textId="77777777" w:rsidR="00CE74D2" w:rsidRPr="00CE74D2" w:rsidRDefault="00CE74D2" w:rsidP="00CE74D2">
      <w:pPr>
        <w:pStyle w:val="Zkladntext"/>
        <w:numPr>
          <w:ilvl w:val="0"/>
          <w:numId w:val="15"/>
        </w:numPr>
        <w:rPr>
          <w:b/>
          <w:bCs/>
          <w:lang w:val="en-GB"/>
        </w:rPr>
      </w:pPr>
      <w:r w:rsidRPr="00CE74D2">
        <w:rPr>
          <w:b/>
          <w:bCs/>
          <w:lang w:val="en-GB"/>
        </w:rPr>
        <w:t xml:space="preserve">Name and Address: </w:t>
      </w:r>
      <w:r w:rsidRPr="00CE74D2">
        <w:rPr>
          <w:lang w:val="en-GB"/>
        </w:rPr>
        <w:t>Slovak University of Agriculture in Nitra, Trieda A. Hlinku 2, 949 76 Nitra, Slovakia</w:t>
      </w:r>
    </w:p>
    <w:p w14:paraId="5D6D504C" w14:textId="77777777" w:rsidR="00CE74D2" w:rsidRPr="00CE74D2" w:rsidRDefault="00CE74D2" w:rsidP="00CE74D2">
      <w:pPr>
        <w:pStyle w:val="Zkladntext"/>
        <w:numPr>
          <w:ilvl w:val="0"/>
          <w:numId w:val="15"/>
        </w:numPr>
        <w:rPr>
          <w:b/>
          <w:bCs/>
          <w:lang w:val="en-GB"/>
        </w:rPr>
      </w:pPr>
      <w:r w:rsidRPr="00CE74D2">
        <w:rPr>
          <w:b/>
          <w:bCs/>
          <w:lang w:val="en-GB"/>
        </w:rPr>
        <w:t xml:space="preserve">Beneficiary Bank: </w:t>
      </w:r>
      <w:r w:rsidRPr="00CE74D2">
        <w:rPr>
          <w:lang w:val="en-GB"/>
        </w:rPr>
        <w:t>State Treasury (Štátna pokladnica), Radlinského 32, 810 05 Bratislava</w:t>
      </w:r>
    </w:p>
    <w:p w14:paraId="45AE62E1" w14:textId="77777777" w:rsidR="00CE74D2" w:rsidRPr="00CE74D2" w:rsidRDefault="00CE74D2" w:rsidP="00CE74D2">
      <w:pPr>
        <w:pStyle w:val="Zkladntext"/>
        <w:rPr>
          <w:b/>
          <w:bCs/>
          <w:lang w:val="en-GB"/>
        </w:rPr>
      </w:pPr>
    </w:p>
    <w:p w14:paraId="4E142176" w14:textId="77777777" w:rsidR="00CE74D2" w:rsidRPr="00CE74D2" w:rsidRDefault="00CE74D2" w:rsidP="00CE74D2">
      <w:pPr>
        <w:pStyle w:val="Zkladntext"/>
        <w:rPr>
          <w:b/>
          <w:bCs/>
          <w:lang w:val="en-GB"/>
        </w:rPr>
      </w:pPr>
      <w:r w:rsidRPr="00CE74D2">
        <w:rPr>
          <w:b/>
          <w:bCs/>
          <w:lang w:val="en-GB"/>
        </w:rPr>
        <w:t>International Payment Details:</w:t>
      </w:r>
    </w:p>
    <w:p w14:paraId="75548FE5" w14:textId="77777777" w:rsidR="00CE74D2" w:rsidRPr="00CE74D2" w:rsidRDefault="00CE74D2" w:rsidP="00CE74D2">
      <w:pPr>
        <w:pStyle w:val="Zkladntext"/>
        <w:numPr>
          <w:ilvl w:val="0"/>
          <w:numId w:val="16"/>
        </w:numPr>
        <w:rPr>
          <w:b/>
          <w:bCs/>
          <w:lang w:val="en-GB"/>
        </w:rPr>
      </w:pPr>
      <w:r w:rsidRPr="00CE74D2">
        <w:rPr>
          <w:b/>
          <w:bCs/>
          <w:lang w:val="en-GB"/>
        </w:rPr>
        <w:t xml:space="preserve">IBAN: </w:t>
      </w:r>
      <w:r w:rsidRPr="00CE74D2">
        <w:rPr>
          <w:lang w:val="en-GB"/>
        </w:rPr>
        <w:t>SK40 8180 0000 0070 0006 6247</w:t>
      </w:r>
    </w:p>
    <w:p w14:paraId="482130D6" w14:textId="77777777" w:rsidR="00CE74D2" w:rsidRPr="00CE74D2" w:rsidRDefault="00CE74D2" w:rsidP="00CE74D2">
      <w:pPr>
        <w:pStyle w:val="Zkladntext"/>
        <w:numPr>
          <w:ilvl w:val="0"/>
          <w:numId w:val="16"/>
        </w:numPr>
        <w:rPr>
          <w:b/>
          <w:bCs/>
          <w:lang w:val="en-GB"/>
        </w:rPr>
      </w:pPr>
      <w:r w:rsidRPr="00CE74D2">
        <w:rPr>
          <w:b/>
          <w:bCs/>
          <w:lang w:val="en-GB"/>
        </w:rPr>
        <w:t xml:space="preserve">BIC/SWIFT: </w:t>
      </w:r>
      <w:r w:rsidRPr="00CE74D2">
        <w:rPr>
          <w:lang w:val="en-GB"/>
        </w:rPr>
        <w:t>SPSRSKBA</w:t>
      </w:r>
    </w:p>
    <w:p w14:paraId="3C5B6A45" w14:textId="77777777" w:rsidR="00CE74D2" w:rsidRPr="00CE74D2" w:rsidRDefault="00CE74D2" w:rsidP="00CE74D2">
      <w:pPr>
        <w:pStyle w:val="Zkladntext"/>
        <w:numPr>
          <w:ilvl w:val="0"/>
          <w:numId w:val="16"/>
        </w:numPr>
        <w:rPr>
          <w:b/>
          <w:bCs/>
          <w:lang w:val="en-GB"/>
        </w:rPr>
      </w:pPr>
      <w:r w:rsidRPr="00CE74D2">
        <w:rPr>
          <w:b/>
          <w:bCs/>
          <w:lang w:val="en-GB"/>
        </w:rPr>
        <w:t xml:space="preserve">Constant Symbol (KS): </w:t>
      </w:r>
      <w:r w:rsidRPr="00CE74D2">
        <w:rPr>
          <w:lang w:val="en-GB"/>
        </w:rPr>
        <w:t>0558</w:t>
      </w:r>
    </w:p>
    <w:p w14:paraId="1A089B75" w14:textId="77777777" w:rsidR="00CE74D2" w:rsidRPr="00CE74D2" w:rsidRDefault="00CE74D2" w:rsidP="00CE74D2">
      <w:pPr>
        <w:pStyle w:val="Zkladntext"/>
        <w:numPr>
          <w:ilvl w:val="0"/>
          <w:numId w:val="16"/>
        </w:numPr>
        <w:rPr>
          <w:b/>
          <w:bCs/>
          <w:lang w:val="en-GB"/>
        </w:rPr>
      </w:pPr>
      <w:r w:rsidRPr="00CE74D2">
        <w:rPr>
          <w:b/>
          <w:bCs/>
          <w:lang w:val="en-GB"/>
        </w:rPr>
        <w:t xml:space="preserve">Variable Symbol (VS): </w:t>
      </w:r>
      <w:r w:rsidRPr="00CE74D2">
        <w:rPr>
          <w:lang w:val="en-GB"/>
        </w:rPr>
        <w:t>103900</w:t>
      </w:r>
    </w:p>
    <w:p w14:paraId="5740886E" w14:textId="77777777" w:rsidR="00CE74D2" w:rsidRPr="00CE74D2" w:rsidRDefault="00CE74D2" w:rsidP="00CE74D2">
      <w:pPr>
        <w:pStyle w:val="Zkladntext"/>
        <w:numPr>
          <w:ilvl w:val="0"/>
          <w:numId w:val="16"/>
        </w:numPr>
        <w:rPr>
          <w:b/>
          <w:bCs/>
          <w:lang w:val="en-GB"/>
        </w:rPr>
      </w:pPr>
      <w:r w:rsidRPr="00CE74D2">
        <w:rPr>
          <w:b/>
          <w:bCs/>
          <w:lang w:val="en-GB"/>
        </w:rPr>
        <w:t xml:space="preserve">Specific Symbol (ŠS): </w:t>
      </w:r>
      <w:r w:rsidRPr="00CE74D2">
        <w:rPr>
          <w:lang w:val="en-GB"/>
        </w:rPr>
        <w:t>103900721</w:t>
      </w:r>
    </w:p>
    <w:p w14:paraId="61BED540" w14:textId="77777777" w:rsidR="00CE74D2" w:rsidRPr="00CE74D2" w:rsidRDefault="00CE74D2" w:rsidP="00CE74D2">
      <w:pPr>
        <w:pStyle w:val="Zkladntext"/>
        <w:numPr>
          <w:ilvl w:val="0"/>
          <w:numId w:val="16"/>
        </w:numPr>
        <w:rPr>
          <w:b/>
          <w:bCs/>
          <w:lang w:val="en-GB"/>
        </w:rPr>
      </w:pPr>
      <w:r w:rsidRPr="00CE74D2">
        <w:rPr>
          <w:b/>
          <w:bCs/>
          <w:lang w:val="en-GB"/>
        </w:rPr>
        <w:t xml:space="preserve">Message for Recipient: </w:t>
      </w:r>
      <w:r w:rsidRPr="00CE74D2">
        <w:rPr>
          <w:lang w:val="en-GB"/>
        </w:rPr>
        <w:t>Surname and First Name of the applicant (without diacritics)</w:t>
      </w:r>
    </w:p>
    <w:p w14:paraId="7107EAAA" w14:textId="77777777" w:rsidR="00CE74D2" w:rsidRPr="00CE74D2" w:rsidRDefault="00CE74D2" w:rsidP="00CE74D2">
      <w:pPr>
        <w:pStyle w:val="Zkladntext"/>
        <w:rPr>
          <w:b/>
          <w:bCs/>
          <w:lang w:val="en-GB"/>
        </w:rPr>
      </w:pPr>
    </w:p>
    <w:p w14:paraId="57C2639B" w14:textId="77777777" w:rsidR="00CE74D2" w:rsidRPr="00CE74D2" w:rsidRDefault="00CE74D2" w:rsidP="00CE74D2">
      <w:pPr>
        <w:pStyle w:val="Zkladntext"/>
        <w:rPr>
          <w:b/>
          <w:bCs/>
          <w:lang w:val="en-GB"/>
        </w:rPr>
      </w:pPr>
      <w:r w:rsidRPr="00CE74D2">
        <w:rPr>
          <w:b/>
          <w:bCs/>
          <w:lang w:val="en-GB"/>
        </w:rPr>
        <w:t>CONTACT INFORMATION</w:t>
      </w:r>
    </w:p>
    <w:p w14:paraId="57742838" w14:textId="77777777" w:rsidR="00CE74D2" w:rsidRPr="00CE74D2" w:rsidRDefault="00CE74D2" w:rsidP="00CE74D2">
      <w:pPr>
        <w:pStyle w:val="Zkladntext"/>
        <w:rPr>
          <w:b/>
          <w:bCs/>
          <w:lang w:val="en-GB"/>
        </w:rPr>
      </w:pPr>
      <w:r w:rsidRPr="00CE74D2">
        <w:rPr>
          <w:b/>
          <w:bCs/>
          <w:lang w:val="en-GB"/>
        </w:rPr>
        <w:t>Study Department (Bachelor’s / Level I):</w:t>
      </w:r>
    </w:p>
    <w:p w14:paraId="1E37D04D" w14:textId="77777777" w:rsidR="00CE74D2" w:rsidRPr="00CE74D2" w:rsidRDefault="00CE74D2" w:rsidP="00CE74D2">
      <w:pPr>
        <w:pStyle w:val="Zkladntext"/>
        <w:numPr>
          <w:ilvl w:val="0"/>
          <w:numId w:val="17"/>
        </w:numPr>
        <w:rPr>
          <w:b/>
          <w:bCs/>
          <w:lang w:val="en-GB"/>
        </w:rPr>
      </w:pPr>
      <w:r w:rsidRPr="00CE74D2">
        <w:rPr>
          <w:b/>
          <w:bCs/>
          <w:lang w:val="en-GB"/>
        </w:rPr>
        <w:t xml:space="preserve">Andrea Homolová – </w:t>
      </w:r>
      <w:r w:rsidRPr="00CE74D2">
        <w:rPr>
          <w:lang w:val="en-GB"/>
        </w:rPr>
        <w:t>andrea.homolova@uniag.sk</w:t>
      </w:r>
    </w:p>
    <w:p w14:paraId="5E3ED949" w14:textId="77777777" w:rsidR="00CE74D2" w:rsidRPr="00CE74D2" w:rsidRDefault="00CE74D2" w:rsidP="00CE74D2">
      <w:pPr>
        <w:pStyle w:val="Zkladntext"/>
        <w:rPr>
          <w:b/>
          <w:bCs/>
          <w:lang w:val="en-GB"/>
        </w:rPr>
      </w:pPr>
      <w:r w:rsidRPr="00CE74D2">
        <w:rPr>
          <w:b/>
          <w:bCs/>
          <w:lang w:val="en-GB"/>
        </w:rPr>
        <w:t>Vice-Dean for Education:</w:t>
      </w:r>
    </w:p>
    <w:p w14:paraId="2C22B204" w14:textId="77777777" w:rsidR="00CE74D2" w:rsidRPr="00CE74D2" w:rsidRDefault="00CE74D2" w:rsidP="00CE74D2">
      <w:pPr>
        <w:pStyle w:val="Zkladntext"/>
        <w:numPr>
          <w:ilvl w:val="0"/>
          <w:numId w:val="17"/>
        </w:numPr>
        <w:rPr>
          <w:b/>
          <w:bCs/>
          <w:lang w:val="en-GB"/>
        </w:rPr>
      </w:pPr>
      <w:r w:rsidRPr="00CE74D2">
        <w:rPr>
          <w:b/>
          <w:bCs/>
          <w:lang w:val="en-GB"/>
        </w:rPr>
        <w:t xml:space="preserve">doc. Ing. Ján Kosiba, PhD. – </w:t>
      </w:r>
      <w:r w:rsidRPr="00CE74D2">
        <w:rPr>
          <w:lang w:val="en-GB"/>
        </w:rPr>
        <w:t>jan.kosiba@uniag.sk</w:t>
      </w:r>
    </w:p>
    <w:p w14:paraId="4A141DE4" w14:textId="77777777" w:rsidR="00CE74D2" w:rsidRPr="00CE74D2" w:rsidRDefault="00CE74D2" w:rsidP="00CE74D2">
      <w:pPr>
        <w:pStyle w:val="Zkladntext"/>
        <w:rPr>
          <w:b/>
          <w:bCs/>
          <w:lang w:val="en-GB"/>
        </w:rPr>
      </w:pPr>
      <w:r w:rsidRPr="00CE74D2">
        <w:rPr>
          <w:b/>
          <w:bCs/>
          <w:lang w:val="en-GB"/>
        </w:rPr>
        <w:t>Vice-Dean for International Students:</w:t>
      </w:r>
    </w:p>
    <w:p w14:paraId="00CB96E3" w14:textId="77777777" w:rsidR="00CE74D2" w:rsidRPr="00CE74D2" w:rsidRDefault="00CE74D2" w:rsidP="00CE74D2">
      <w:pPr>
        <w:pStyle w:val="Zkladntext"/>
        <w:numPr>
          <w:ilvl w:val="0"/>
          <w:numId w:val="17"/>
        </w:numPr>
        <w:rPr>
          <w:b/>
          <w:bCs/>
          <w:lang w:val="en-GB"/>
        </w:rPr>
      </w:pPr>
      <w:r w:rsidRPr="00CE74D2">
        <w:rPr>
          <w:b/>
          <w:bCs/>
          <w:lang w:val="en-GB"/>
        </w:rPr>
        <w:t xml:space="preserve">Ing. Katarína Kollárová, PhD. – </w:t>
      </w:r>
      <w:r w:rsidRPr="00CE74D2">
        <w:rPr>
          <w:lang w:val="en-GB"/>
        </w:rPr>
        <w:t>katarina.kollarova@uniag.sk</w:t>
      </w:r>
    </w:p>
    <w:p w14:paraId="1D683AE3" w14:textId="77777777" w:rsidR="00CE74D2" w:rsidRPr="00CE74D2" w:rsidRDefault="00CE74D2" w:rsidP="00CE74D2">
      <w:pPr>
        <w:pStyle w:val="Zkladntext"/>
        <w:rPr>
          <w:b/>
          <w:bCs/>
          <w:lang w:val="en-GB"/>
        </w:rPr>
      </w:pPr>
      <w:r w:rsidRPr="00CE74D2">
        <w:rPr>
          <w:b/>
          <w:bCs/>
          <w:lang w:val="en-GB"/>
        </w:rPr>
        <w:t>Coordinator for Applicants with Specific Needs:</w:t>
      </w:r>
    </w:p>
    <w:p w14:paraId="42A7E7B0" w14:textId="77777777" w:rsidR="00CE74D2" w:rsidRPr="00CE74D2" w:rsidRDefault="00CE74D2" w:rsidP="00CE74D2">
      <w:pPr>
        <w:pStyle w:val="Zkladntext"/>
        <w:numPr>
          <w:ilvl w:val="0"/>
          <w:numId w:val="17"/>
        </w:numPr>
        <w:rPr>
          <w:b/>
          <w:bCs/>
          <w:lang w:val="en-GB"/>
        </w:rPr>
      </w:pPr>
      <w:r w:rsidRPr="00CE74D2">
        <w:rPr>
          <w:b/>
          <w:bCs/>
          <w:lang w:val="en-GB"/>
        </w:rPr>
        <w:t xml:space="preserve">prof. Ing. Maroš Korenko, PhD. – </w:t>
      </w:r>
      <w:r w:rsidRPr="00CE74D2">
        <w:rPr>
          <w:lang w:val="en-GB"/>
        </w:rPr>
        <w:t>maros.korenko@uniag.sk</w:t>
      </w:r>
    </w:p>
    <w:p w14:paraId="3E702C62" w14:textId="77777777" w:rsidR="00CE74D2" w:rsidRPr="00CE74D2" w:rsidRDefault="00CE74D2" w:rsidP="00CE74D2">
      <w:pPr>
        <w:pStyle w:val="Zkladntext"/>
        <w:rPr>
          <w:b/>
          <w:bCs/>
          <w:lang w:val="en-GB"/>
        </w:rPr>
      </w:pPr>
    </w:p>
    <w:p w14:paraId="70637AE0" w14:textId="77777777" w:rsidR="00CE74D2" w:rsidRPr="00CE74D2" w:rsidRDefault="00CE74D2" w:rsidP="00CE74D2">
      <w:pPr>
        <w:pStyle w:val="Zkladntext"/>
        <w:rPr>
          <w:b/>
          <w:bCs/>
          <w:lang w:val="en-GB"/>
        </w:rPr>
      </w:pPr>
    </w:p>
    <w:p w14:paraId="336DC3F5" w14:textId="77777777" w:rsidR="00CE74D2" w:rsidRPr="00CE74D2" w:rsidRDefault="00CE74D2" w:rsidP="00CE74D2">
      <w:pPr>
        <w:pStyle w:val="Zkladntext"/>
        <w:rPr>
          <w:b/>
          <w:bCs/>
          <w:lang w:val="en-GB"/>
        </w:rPr>
      </w:pPr>
      <w:r w:rsidRPr="00CE74D2">
        <w:rPr>
          <w:b/>
          <w:bCs/>
          <w:lang w:val="en-GB"/>
        </w:rPr>
        <w:t>OFFICIAL NOTICE</w:t>
      </w:r>
    </w:p>
    <w:p w14:paraId="15036D17" w14:textId="77777777" w:rsidR="00CE74D2" w:rsidRPr="00CE74D2" w:rsidRDefault="00CE74D2" w:rsidP="00CE74D2">
      <w:pPr>
        <w:pStyle w:val="Zkladntext"/>
        <w:rPr>
          <w:lang w:val="en-GB"/>
        </w:rPr>
      </w:pPr>
      <w:r w:rsidRPr="00CE74D2">
        <w:rPr>
          <w:lang w:val="en-GB"/>
        </w:rPr>
        <w:t>Published on the Faculty of Engineering website: https://tf.uniag.sk/en/admission-requirements and on the Higher Education Portal: www.portalvs.sk</w:t>
      </w:r>
    </w:p>
    <w:p w14:paraId="5AD88A06" w14:textId="77777777" w:rsidR="00961F1D" w:rsidRPr="00603175" w:rsidRDefault="00961F1D" w:rsidP="00961F1D">
      <w:pPr>
        <w:pStyle w:val="Zkladntext"/>
        <w:rPr>
          <w:lang w:val="en-GB"/>
        </w:rPr>
      </w:pPr>
    </w:p>
    <w:p w14:paraId="35701DB1" w14:textId="57EDF361" w:rsidR="00961F1D" w:rsidRPr="00CE74D2" w:rsidRDefault="00CE74D2" w:rsidP="00CE74D2">
      <w:pPr>
        <w:pStyle w:val="Zkladntext"/>
        <w:jc w:val="both"/>
        <w:rPr>
          <w:i/>
          <w:iCs/>
          <w:sz w:val="21"/>
          <w:lang w:val="en-GB"/>
        </w:rPr>
      </w:pPr>
      <w:r w:rsidRPr="00CE74D2">
        <w:rPr>
          <w:i/>
          <w:iCs/>
          <w:sz w:val="21"/>
          <w:lang w:val="en-GB"/>
        </w:rPr>
        <w:t>The Program Committee of the "</w:t>
      </w:r>
      <w:r w:rsidRPr="00CE74D2">
        <w:t xml:space="preserve"> </w:t>
      </w:r>
      <w:r w:rsidRPr="00CE74D2">
        <w:rPr>
          <w:i/>
          <w:iCs/>
          <w:sz w:val="21"/>
          <w:lang w:val="en-GB"/>
        </w:rPr>
        <w:t>Information and Management Systems in Production Engineering " study program approved the proposal for the terms and rules of the admission process for the given study program, taking into account the specifics for students with specific needs, on January 13, 2026.</w:t>
      </w:r>
    </w:p>
    <w:p w14:paraId="292FDDE7" w14:textId="77777777" w:rsidR="00961F1D" w:rsidRPr="00603175" w:rsidRDefault="00961F1D" w:rsidP="00961F1D">
      <w:pPr>
        <w:jc w:val="both"/>
        <w:rPr>
          <w:sz w:val="21"/>
          <w:lang w:val="en-GB"/>
        </w:rPr>
        <w:sectPr w:rsidR="00961F1D" w:rsidRPr="00603175">
          <w:pgSz w:w="11920" w:h="16850"/>
          <w:pgMar w:top="1360" w:right="1280" w:bottom="1260" w:left="1280" w:header="0" w:footer="1060" w:gutter="0"/>
          <w:cols w:space="708"/>
        </w:sectPr>
      </w:pPr>
    </w:p>
    <w:p w14:paraId="4B690863" w14:textId="77777777" w:rsidR="00CE74D2" w:rsidRPr="00CE74D2" w:rsidRDefault="00CE74D2" w:rsidP="00CE74D2">
      <w:pPr>
        <w:widowControl/>
        <w:autoSpaceDE/>
        <w:autoSpaceDN/>
        <w:rPr>
          <w:bCs/>
          <w:lang w:val="en-GB"/>
        </w:rPr>
      </w:pPr>
      <w:bookmarkStart w:id="7" w:name="Prílohy_Kritéria_hodnotenia_uchádzačov_o"/>
      <w:bookmarkEnd w:id="7"/>
      <w:r w:rsidRPr="00CE74D2">
        <w:rPr>
          <w:b/>
          <w:lang w:val="en-GB"/>
        </w:rPr>
        <w:lastRenderedPageBreak/>
        <w:t>Annex</w:t>
      </w:r>
      <w:r w:rsidRPr="00CE74D2">
        <w:rPr>
          <w:bCs/>
          <w:lang w:val="en-GB"/>
        </w:rPr>
        <w:t>: Evaluation Criteria for Applicants for First-Cycle Higher Education (Bachelor's Degree)</w:t>
      </w:r>
    </w:p>
    <w:p w14:paraId="6CFF1E61" w14:textId="17739A34" w:rsidR="00105EC3" w:rsidRPr="00CE74D2" w:rsidRDefault="00CE74D2" w:rsidP="00CE74D2">
      <w:pPr>
        <w:widowControl/>
        <w:autoSpaceDE/>
        <w:autoSpaceDN/>
        <w:rPr>
          <w:rFonts w:asciiTheme="minorHAnsi" w:hAnsiTheme="minorHAnsi" w:cstheme="minorHAnsi"/>
          <w:color w:val="000000" w:themeColor="text1"/>
          <w:lang w:val="en-GB"/>
        </w:rPr>
      </w:pPr>
      <w:r w:rsidRPr="00CE74D2">
        <w:rPr>
          <w:bCs/>
          <w:lang w:val="en-GB"/>
        </w:rPr>
        <w:t>a) The evaluation of the school-leaving examination (Matura) results for a single subject is specified in the table below:</w:t>
      </w:r>
    </w:p>
    <w:tbl>
      <w:tblPr>
        <w:tblW w:w="4750" w:type="pct"/>
        <w:jc w:val="center"/>
        <w:tblCellMar>
          <w:left w:w="30" w:type="dxa"/>
          <w:right w:w="30" w:type="dxa"/>
        </w:tblCellMar>
        <w:tblLook w:val="0000" w:firstRow="0" w:lastRow="0" w:firstColumn="0" w:lastColumn="0" w:noHBand="0" w:noVBand="0"/>
      </w:tblPr>
      <w:tblGrid>
        <w:gridCol w:w="4090"/>
        <w:gridCol w:w="1727"/>
        <w:gridCol w:w="1403"/>
        <w:gridCol w:w="1729"/>
      </w:tblGrid>
      <w:tr w:rsidR="00105EC3" w:rsidRPr="00603175" w14:paraId="1B0D3D96" w14:textId="77777777" w:rsidTr="003063F7">
        <w:trPr>
          <w:trHeight w:val="283"/>
          <w:jc w:val="center"/>
        </w:trPr>
        <w:tc>
          <w:tcPr>
            <w:tcW w:w="3250" w:type="pct"/>
            <w:gridSpan w:val="2"/>
            <w:tcBorders>
              <w:top w:val="single" w:sz="2" w:space="0" w:color="auto"/>
              <w:left w:val="single" w:sz="2" w:space="0" w:color="auto"/>
              <w:right w:val="single" w:sz="2" w:space="0" w:color="auto"/>
            </w:tcBorders>
            <w:vAlign w:val="center"/>
          </w:tcPr>
          <w:p w14:paraId="123D61A8" w14:textId="3FA20DF3" w:rsidR="00105EC3" w:rsidRPr="00603175" w:rsidRDefault="00CE74D2"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Evaluation</w:t>
            </w:r>
          </w:p>
        </w:tc>
        <w:tc>
          <w:tcPr>
            <w:tcW w:w="1750" w:type="pct"/>
            <w:gridSpan w:val="2"/>
            <w:tcBorders>
              <w:top w:val="single" w:sz="2" w:space="0" w:color="auto"/>
              <w:left w:val="single" w:sz="2" w:space="0" w:color="auto"/>
              <w:right w:val="single" w:sz="2" w:space="0" w:color="auto"/>
            </w:tcBorders>
            <w:vAlign w:val="center"/>
          </w:tcPr>
          <w:p w14:paraId="57D82B98" w14:textId="395E487F" w:rsidR="00105EC3" w:rsidRPr="00603175" w:rsidRDefault="00CE74D2"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Number of points</w:t>
            </w:r>
          </w:p>
        </w:tc>
      </w:tr>
      <w:tr w:rsidR="00105EC3" w:rsidRPr="00603175" w14:paraId="27AEA6FB"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vAlign w:val="center"/>
          </w:tcPr>
          <w:p w14:paraId="66007563" w14:textId="5C9DC75C"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percent</w:t>
            </w:r>
            <w:r w:rsidR="00CE74D2">
              <w:rPr>
                <w:rFonts w:asciiTheme="minorHAnsi" w:hAnsiTheme="minorHAnsi" w:cstheme="minorHAnsi"/>
                <w:color w:val="000000" w:themeColor="text1"/>
                <w:lang w:val="en-GB"/>
              </w:rPr>
              <w:t>ile</w:t>
            </w:r>
            <w:r w:rsidRPr="00603175">
              <w:rPr>
                <w:rFonts w:asciiTheme="minorHAnsi" w:hAnsiTheme="minorHAnsi" w:cstheme="minorHAnsi"/>
                <w:color w:val="000000" w:themeColor="text1"/>
                <w:lang w:val="en-GB"/>
              </w:rPr>
              <w:t xml:space="preserve"> (%)</w:t>
            </w:r>
          </w:p>
        </w:tc>
        <w:tc>
          <w:tcPr>
            <w:tcW w:w="965" w:type="pct"/>
            <w:tcBorders>
              <w:top w:val="single" w:sz="2" w:space="0" w:color="auto"/>
              <w:left w:val="single" w:sz="2" w:space="0" w:color="auto"/>
              <w:bottom w:val="single" w:sz="2" w:space="0" w:color="auto"/>
              <w:right w:val="single" w:sz="2" w:space="0" w:color="auto"/>
            </w:tcBorders>
            <w:vAlign w:val="center"/>
          </w:tcPr>
          <w:p w14:paraId="3AA44543" w14:textId="38BEE6DE" w:rsidR="00105EC3" w:rsidRPr="00603175" w:rsidRDefault="00CE74D2"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degree</w:t>
            </w:r>
            <w:r w:rsidR="00105EC3" w:rsidRPr="00603175">
              <w:rPr>
                <w:rFonts w:asciiTheme="minorHAnsi" w:hAnsiTheme="minorHAnsi" w:cstheme="minorHAnsi"/>
                <w:color w:val="000000" w:themeColor="text1"/>
                <w:lang w:val="en-GB"/>
              </w:rPr>
              <w:t xml:space="preserve"> (z)</w:t>
            </w:r>
          </w:p>
        </w:tc>
        <w:tc>
          <w:tcPr>
            <w:tcW w:w="784" w:type="pct"/>
            <w:tcBorders>
              <w:top w:val="single" w:sz="2" w:space="0" w:color="auto"/>
              <w:left w:val="single" w:sz="2" w:space="0" w:color="auto"/>
              <w:bottom w:val="single" w:sz="2" w:space="0" w:color="auto"/>
              <w:right w:val="single" w:sz="2" w:space="0" w:color="auto"/>
            </w:tcBorders>
            <w:vAlign w:val="center"/>
          </w:tcPr>
          <w:p w14:paraId="4B01DD34" w14:textId="513E16AF"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extern</w:t>
            </w:r>
            <w:r w:rsidR="00CE74D2">
              <w:rPr>
                <w:rFonts w:asciiTheme="minorHAnsi" w:hAnsiTheme="minorHAnsi" w:cstheme="minorHAnsi"/>
                <w:color w:val="000000" w:themeColor="text1"/>
                <w:lang w:val="en-GB"/>
              </w:rPr>
              <w:t>al</w:t>
            </w:r>
            <w:r w:rsidRPr="00603175">
              <w:rPr>
                <w:rFonts w:asciiTheme="minorHAnsi" w:hAnsiTheme="minorHAnsi" w:cstheme="minorHAnsi"/>
                <w:color w:val="000000" w:themeColor="text1"/>
                <w:lang w:val="en-GB"/>
              </w:rPr>
              <w:t xml:space="preserve"> (%)</w:t>
            </w:r>
          </w:p>
        </w:tc>
        <w:tc>
          <w:tcPr>
            <w:tcW w:w="966" w:type="pct"/>
            <w:tcBorders>
              <w:top w:val="single" w:sz="2" w:space="0" w:color="auto"/>
              <w:left w:val="single" w:sz="2" w:space="0" w:color="auto"/>
              <w:bottom w:val="single" w:sz="2" w:space="0" w:color="auto"/>
              <w:right w:val="single" w:sz="2" w:space="0" w:color="auto"/>
            </w:tcBorders>
            <w:vAlign w:val="center"/>
          </w:tcPr>
          <w:p w14:paraId="218FE0C5" w14:textId="51F23FA8" w:rsidR="00105EC3" w:rsidRPr="00603175" w:rsidRDefault="00CE74D2"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internal</w:t>
            </w:r>
            <w:r w:rsidR="00105EC3" w:rsidRPr="00603175">
              <w:rPr>
                <w:rFonts w:asciiTheme="minorHAnsi" w:hAnsiTheme="minorHAnsi" w:cstheme="minorHAnsi"/>
                <w:color w:val="000000" w:themeColor="text1"/>
                <w:lang w:val="en-GB"/>
              </w:rPr>
              <w:t xml:space="preserve"> (z)</w:t>
            </w:r>
          </w:p>
        </w:tc>
      </w:tr>
      <w:tr w:rsidR="00105EC3" w:rsidRPr="00603175" w14:paraId="2B70BEAE"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7248B49C"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90 - 100</w:t>
            </w:r>
          </w:p>
        </w:tc>
        <w:tc>
          <w:tcPr>
            <w:tcW w:w="965" w:type="pct"/>
            <w:tcBorders>
              <w:top w:val="single" w:sz="2" w:space="0" w:color="auto"/>
              <w:left w:val="single" w:sz="2" w:space="0" w:color="auto"/>
              <w:bottom w:val="single" w:sz="2" w:space="0" w:color="auto"/>
              <w:right w:val="single" w:sz="2" w:space="0" w:color="auto"/>
            </w:tcBorders>
          </w:tcPr>
          <w:p w14:paraId="6A45C52C"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1</w:t>
            </w:r>
          </w:p>
        </w:tc>
        <w:tc>
          <w:tcPr>
            <w:tcW w:w="784" w:type="pct"/>
            <w:tcBorders>
              <w:top w:val="single" w:sz="2" w:space="0" w:color="auto"/>
              <w:left w:val="single" w:sz="2" w:space="0" w:color="auto"/>
              <w:bottom w:val="single" w:sz="2" w:space="0" w:color="auto"/>
              <w:right w:val="single" w:sz="2" w:space="0" w:color="auto"/>
            </w:tcBorders>
          </w:tcPr>
          <w:p w14:paraId="11AA169C"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12</w:t>
            </w:r>
          </w:p>
        </w:tc>
        <w:tc>
          <w:tcPr>
            <w:tcW w:w="966" w:type="pct"/>
            <w:tcBorders>
              <w:top w:val="single" w:sz="2" w:space="0" w:color="auto"/>
              <w:left w:val="single" w:sz="2" w:space="0" w:color="auto"/>
              <w:bottom w:val="single" w:sz="2" w:space="0" w:color="auto"/>
              <w:right w:val="single" w:sz="2" w:space="0" w:color="auto"/>
            </w:tcBorders>
          </w:tcPr>
          <w:p w14:paraId="4532082F"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10</w:t>
            </w:r>
          </w:p>
        </w:tc>
      </w:tr>
      <w:tr w:rsidR="00105EC3" w:rsidRPr="00603175" w14:paraId="606BD969"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1F4FD741"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 xml:space="preserve">80 - 89 </w:t>
            </w:r>
          </w:p>
        </w:tc>
        <w:tc>
          <w:tcPr>
            <w:tcW w:w="965" w:type="pct"/>
            <w:tcBorders>
              <w:top w:val="single" w:sz="2" w:space="0" w:color="auto"/>
              <w:left w:val="single" w:sz="2" w:space="0" w:color="auto"/>
              <w:bottom w:val="single" w:sz="2" w:space="0" w:color="auto"/>
              <w:right w:val="single" w:sz="2" w:space="0" w:color="auto"/>
            </w:tcBorders>
          </w:tcPr>
          <w:p w14:paraId="55019B60"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2</w:t>
            </w:r>
          </w:p>
        </w:tc>
        <w:tc>
          <w:tcPr>
            <w:tcW w:w="784" w:type="pct"/>
            <w:tcBorders>
              <w:top w:val="single" w:sz="2" w:space="0" w:color="auto"/>
              <w:left w:val="single" w:sz="2" w:space="0" w:color="auto"/>
              <w:bottom w:val="single" w:sz="2" w:space="0" w:color="auto"/>
              <w:right w:val="single" w:sz="2" w:space="0" w:color="auto"/>
            </w:tcBorders>
          </w:tcPr>
          <w:p w14:paraId="39B285A5"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10</w:t>
            </w:r>
          </w:p>
        </w:tc>
        <w:tc>
          <w:tcPr>
            <w:tcW w:w="966" w:type="pct"/>
            <w:tcBorders>
              <w:top w:val="single" w:sz="2" w:space="0" w:color="auto"/>
              <w:left w:val="single" w:sz="2" w:space="0" w:color="auto"/>
              <w:bottom w:val="single" w:sz="2" w:space="0" w:color="auto"/>
              <w:right w:val="single" w:sz="2" w:space="0" w:color="auto"/>
            </w:tcBorders>
          </w:tcPr>
          <w:p w14:paraId="10BDE7A2"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8</w:t>
            </w:r>
          </w:p>
        </w:tc>
      </w:tr>
      <w:tr w:rsidR="00105EC3" w:rsidRPr="00603175" w14:paraId="19404598"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24808DC1"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70 - 79</w:t>
            </w:r>
          </w:p>
        </w:tc>
        <w:tc>
          <w:tcPr>
            <w:tcW w:w="965" w:type="pct"/>
            <w:tcBorders>
              <w:top w:val="single" w:sz="2" w:space="0" w:color="auto"/>
              <w:left w:val="single" w:sz="2" w:space="0" w:color="auto"/>
              <w:bottom w:val="single" w:sz="2" w:space="0" w:color="auto"/>
              <w:right w:val="single" w:sz="2" w:space="0" w:color="auto"/>
            </w:tcBorders>
          </w:tcPr>
          <w:p w14:paraId="72CADB35"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3</w:t>
            </w:r>
          </w:p>
        </w:tc>
        <w:tc>
          <w:tcPr>
            <w:tcW w:w="784" w:type="pct"/>
            <w:tcBorders>
              <w:top w:val="single" w:sz="2" w:space="0" w:color="auto"/>
              <w:left w:val="single" w:sz="2" w:space="0" w:color="auto"/>
              <w:bottom w:val="single" w:sz="2" w:space="0" w:color="auto"/>
              <w:right w:val="single" w:sz="2" w:space="0" w:color="auto"/>
            </w:tcBorders>
          </w:tcPr>
          <w:p w14:paraId="6B488600"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8</w:t>
            </w:r>
          </w:p>
        </w:tc>
        <w:tc>
          <w:tcPr>
            <w:tcW w:w="966" w:type="pct"/>
            <w:tcBorders>
              <w:top w:val="single" w:sz="2" w:space="0" w:color="auto"/>
              <w:left w:val="single" w:sz="2" w:space="0" w:color="auto"/>
              <w:bottom w:val="single" w:sz="2" w:space="0" w:color="auto"/>
              <w:right w:val="single" w:sz="2" w:space="0" w:color="auto"/>
            </w:tcBorders>
          </w:tcPr>
          <w:p w14:paraId="584990AE"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6</w:t>
            </w:r>
          </w:p>
        </w:tc>
      </w:tr>
      <w:tr w:rsidR="00105EC3" w:rsidRPr="00603175" w14:paraId="740F911D"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51BA9EA7"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60 - 69</w:t>
            </w:r>
          </w:p>
        </w:tc>
        <w:tc>
          <w:tcPr>
            <w:tcW w:w="965" w:type="pct"/>
            <w:tcBorders>
              <w:top w:val="single" w:sz="2" w:space="0" w:color="auto"/>
              <w:left w:val="single" w:sz="2" w:space="0" w:color="auto"/>
              <w:bottom w:val="single" w:sz="2" w:space="0" w:color="auto"/>
              <w:right w:val="single" w:sz="2" w:space="0" w:color="auto"/>
            </w:tcBorders>
          </w:tcPr>
          <w:p w14:paraId="7F653C9D"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4</w:t>
            </w:r>
          </w:p>
        </w:tc>
        <w:tc>
          <w:tcPr>
            <w:tcW w:w="784" w:type="pct"/>
            <w:tcBorders>
              <w:top w:val="single" w:sz="2" w:space="0" w:color="auto"/>
              <w:left w:val="single" w:sz="2" w:space="0" w:color="auto"/>
              <w:bottom w:val="single" w:sz="2" w:space="0" w:color="auto"/>
              <w:right w:val="single" w:sz="2" w:space="0" w:color="auto"/>
            </w:tcBorders>
          </w:tcPr>
          <w:p w14:paraId="69D34BF8"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6</w:t>
            </w:r>
          </w:p>
        </w:tc>
        <w:tc>
          <w:tcPr>
            <w:tcW w:w="966" w:type="pct"/>
            <w:tcBorders>
              <w:top w:val="single" w:sz="2" w:space="0" w:color="auto"/>
              <w:left w:val="single" w:sz="2" w:space="0" w:color="auto"/>
              <w:bottom w:val="single" w:sz="2" w:space="0" w:color="auto"/>
              <w:right w:val="single" w:sz="2" w:space="0" w:color="auto"/>
            </w:tcBorders>
          </w:tcPr>
          <w:p w14:paraId="6A164986" w14:textId="77777777" w:rsidR="00105EC3" w:rsidRPr="00603175" w:rsidRDefault="00105EC3" w:rsidP="003063F7">
            <w:pPr>
              <w:adjustRightInd w:val="0"/>
              <w:jc w:val="center"/>
              <w:rPr>
                <w:rFonts w:asciiTheme="minorHAnsi" w:hAnsiTheme="minorHAnsi" w:cstheme="minorHAnsi"/>
                <w:color w:val="000000" w:themeColor="text1"/>
                <w:lang w:val="en-GB"/>
              </w:rPr>
            </w:pPr>
            <w:r w:rsidRPr="00603175">
              <w:rPr>
                <w:rFonts w:asciiTheme="minorHAnsi" w:hAnsiTheme="minorHAnsi" w:cstheme="minorHAnsi"/>
                <w:color w:val="000000" w:themeColor="text1"/>
                <w:lang w:val="en-GB"/>
              </w:rPr>
              <w:t>4</w:t>
            </w:r>
          </w:p>
        </w:tc>
      </w:tr>
    </w:tbl>
    <w:p w14:paraId="143EF3E8" w14:textId="77777777" w:rsidR="00105EC3" w:rsidRPr="00603175" w:rsidRDefault="00105EC3" w:rsidP="00105EC3">
      <w:pPr>
        <w:ind w:left="280"/>
        <w:jc w:val="both"/>
        <w:rPr>
          <w:rFonts w:asciiTheme="minorHAnsi" w:hAnsiTheme="minorHAnsi" w:cstheme="minorHAnsi"/>
          <w:color w:val="000000" w:themeColor="text1"/>
          <w:lang w:val="en-GB"/>
        </w:rPr>
      </w:pPr>
    </w:p>
    <w:p w14:paraId="2EA30BD7" w14:textId="77777777" w:rsidR="00CE74D2" w:rsidRPr="00571401" w:rsidRDefault="00CE74D2" w:rsidP="00CE74D2">
      <w:pPr>
        <w:ind w:left="280"/>
        <w:jc w:val="both"/>
        <w:rPr>
          <w:rFonts w:asciiTheme="minorHAnsi" w:hAnsiTheme="minorHAnsi" w:cstheme="minorHAnsi"/>
          <w:color w:val="000000" w:themeColor="text1"/>
          <w:lang w:val="en-GB"/>
        </w:rPr>
      </w:pPr>
      <w:r w:rsidRPr="00230A09">
        <w:rPr>
          <w:rFonts w:asciiTheme="minorHAnsi" w:hAnsiTheme="minorHAnsi" w:cstheme="minorHAnsi"/>
          <w:color w:val="000000" w:themeColor="text1"/>
          <w:lang w:val="en-GB"/>
        </w:rPr>
        <w:t>For applicants who completed their school-leaving examinations (Matura) under previous regulations, the following grading scale shall apply:</w:t>
      </w:r>
    </w:p>
    <w:tbl>
      <w:tblPr>
        <w:tblStyle w:val="Mriekatabuky"/>
        <w:tblW w:w="0" w:type="auto"/>
        <w:tblInd w:w="360" w:type="dxa"/>
        <w:tblLook w:val="04A0" w:firstRow="1" w:lastRow="0" w:firstColumn="1" w:lastColumn="0" w:noHBand="0" w:noVBand="1"/>
      </w:tblPr>
      <w:tblGrid>
        <w:gridCol w:w="2000"/>
        <w:gridCol w:w="2001"/>
      </w:tblGrid>
      <w:tr w:rsidR="00105EC3" w:rsidRPr="00603175" w14:paraId="2AFB1F62" w14:textId="77777777" w:rsidTr="003063F7">
        <w:tc>
          <w:tcPr>
            <w:tcW w:w="2000" w:type="dxa"/>
            <w:vAlign w:val="center"/>
          </w:tcPr>
          <w:p w14:paraId="361C052A" w14:textId="718F32D9" w:rsidR="00105EC3" w:rsidRPr="00603175" w:rsidRDefault="00CE74D2"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i/>
                <w:iCs/>
                <w:color w:val="000000" w:themeColor="text1"/>
                <w:sz w:val="22"/>
                <w:szCs w:val="22"/>
                <w:lang w:val="en-GB"/>
              </w:rPr>
              <w:t>averages</w:t>
            </w:r>
          </w:p>
        </w:tc>
        <w:tc>
          <w:tcPr>
            <w:tcW w:w="2001" w:type="dxa"/>
            <w:vAlign w:val="center"/>
          </w:tcPr>
          <w:p w14:paraId="6BFED9EC" w14:textId="61BB404D" w:rsidR="00105EC3" w:rsidRPr="00603175" w:rsidRDefault="00CE74D2"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color w:val="000000" w:themeColor="text1"/>
                <w:lang w:val="en-GB"/>
              </w:rPr>
              <w:t>Number of points</w:t>
            </w:r>
          </w:p>
        </w:tc>
      </w:tr>
      <w:tr w:rsidR="00105EC3" w:rsidRPr="00603175" w14:paraId="286FC94C" w14:textId="77777777" w:rsidTr="003063F7">
        <w:tc>
          <w:tcPr>
            <w:tcW w:w="2000" w:type="dxa"/>
            <w:vAlign w:val="center"/>
          </w:tcPr>
          <w:p w14:paraId="7EEFB4C2" w14:textId="1801F00A"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 – 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50</w:t>
            </w:r>
          </w:p>
        </w:tc>
        <w:tc>
          <w:tcPr>
            <w:tcW w:w="2001" w:type="dxa"/>
            <w:vAlign w:val="center"/>
          </w:tcPr>
          <w:p w14:paraId="4CF68597"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30</w:t>
            </w:r>
          </w:p>
        </w:tc>
      </w:tr>
      <w:tr w:rsidR="00105EC3" w:rsidRPr="00603175" w14:paraId="49AB3F97" w14:textId="77777777" w:rsidTr="003063F7">
        <w:tc>
          <w:tcPr>
            <w:tcW w:w="2000" w:type="dxa"/>
            <w:vAlign w:val="center"/>
          </w:tcPr>
          <w:p w14:paraId="638A4179" w14:textId="36072184"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51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w:t>
            </w:r>
          </w:p>
        </w:tc>
        <w:tc>
          <w:tcPr>
            <w:tcW w:w="2001" w:type="dxa"/>
            <w:vAlign w:val="center"/>
          </w:tcPr>
          <w:p w14:paraId="49FEA921"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25</w:t>
            </w:r>
          </w:p>
        </w:tc>
      </w:tr>
      <w:tr w:rsidR="00105EC3" w:rsidRPr="00603175" w14:paraId="3D2087B0" w14:textId="77777777" w:rsidTr="003063F7">
        <w:tc>
          <w:tcPr>
            <w:tcW w:w="2000" w:type="dxa"/>
            <w:vAlign w:val="center"/>
          </w:tcPr>
          <w:p w14:paraId="49B34D36" w14:textId="13B473C4"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01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50</w:t>
            </w:r>
          </w:p>
        </w:tc>
        <w:tc>
          <w:tcPr>
            <w:tcW w:w="2001" w:type="dxa"/>
            <w:vAlign w:val="center"/>
          </w:tcPr>
          <w:p w14:paraId="7EA5E3C9"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20</w:t>
            </w:r>
          </w:p>
        </w:tc>
      </w:tr>
      <w:tr w:rsidR="00105EC3" w:rsidRPr="00603175" w14:paraId="68995544" w14:textId="77777777" w:rsidTr="003063F7">
        <w:tc>
          <w:tcPr>
            <w:tcW w:w="2000" w:type="dxa"/>
            <w:vAlign w:val="center"/>
          </w:tcPr>
          <w:p w14:paraId="2402338C" w14:textId="351071A2"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51 – 3</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w:t>
            </w:r>
          </w:p>
        </w:tc>
        <w:tc>
          <w:tcPr>
            <w:tcW w:w="2001" w:type="dxa"/>
            <w:vAlign w:val="center"/>
          </w:tcPr>
          <w:p w14:paraId="038035B7"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15</w:t>
            </w:r>
          </w:p>
        </w:tc>
      </w:tr>
      <w:tr w:rsidR="00105EC3" w:rsidRPr="00603175" w14:paraId="1859A8C2" w14:textId="77777777" w:rsidTr="003063F7">
        <w:tc>
          <w:tcPr>
            <w:tcW w:w="2000" w:type="dxa"/>
            <w:vAlign w:val="center"/>
          </w:tcPr>
          <w:p w14:paraId="5D68FCD9" w14:textId="62C8D79C" w:rsidR="00105EC3" w:rsidRPr="00603175" w:rsidRDefault="00CE74D2"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color w:val="000000" w:themeColor="text1"/>
                <w:sz w:val="22"/>
                <w:szCs w:val="22"/>
                <w:lang w:val="en-GB"/>
              </w:rPr>
              <w:t>over</w:t>
            </w:r>
            <w:r w:rsidR="00105EC3" w:rsidRPr="00603175">
              <w:rPr>
                <w:rFonts w:asciiTheme="minorHAnsi" w:hAnsiTheme="minorHAnsi" w:cstheme="minorHAnsi"/>
                <w:color w:val="000000" w:themeColor="text1"/>
                <w:sz w:val="22"/>
                <w:szCs w:val="22"/>
                <w:lang w:val="en-GB"/>
              </w:rPr>
              <w:t xml:space="preserve"> 3</w:t>
            </w:r>
            <w:r w:rsidR="008455B1">
              <w:rPr>
                <w:rFonts w:asciiTheme="minorHAnsi" w:hAnsiTheme="minorHAnsi" w:cstheme="minorHAnsi"/>
                <w:color w:val="000000" w:themeColor="text1"/>
                <w:sz w:val="22"/>
                <w:szCs w:val="22"/>
                <w:lang w:val="en-GB"/>
              </w:rPr>
              <w:t>.</w:t>
            </w:r>
            <w:r w:rsidR="00105EC3" w:rsidRPr="00603175">
              <w:rPr>
                <w:rFonts w:asciiTheme="minorHAnsi" w:hAnsiTheme="minorHAnsi" w:cstheme="minorHAnsi"/>
                <w:color w:val="000000" w:themeColor="text1"/>
                <w:sz w:val="22"/>
                <w:szCs w:val="22"/>
                <w:lang w:val="en-GB"/>
              </w:rPr>
              <w:t>01</w:t>
            </w:r>
          </w:p>
        </w:tc>
        <w:tc>
          <w:tcPr>
            <w:tcW w:w="2001" w:type="dxa"/>
            <w:vAlign w:val="center"/>
          </w:tcPr>
          <w:p w14:paraId="1FB9074C"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10</w:t>
            </w:r>
          </w:p>
        </w:tc>
      </w:tr>
    </w:tbl>
    <w:p w14:paraId="42ABCC27" w14:textId="77777777" w:rsidR="00105EC3" w:rsidRPr="00603175" w:rsidRDefault="00105EC3" w:rsidP="00105EC3">
      <w:pPr>
        <w:ind w:left="360"/>
        <w:jc w:val="both"/>
        <w:rPr>
          <w:rFonts w:asciiTheme="minorHAnsi" w:hAnsiTheme="minorHAnsi" w:cstheme="minorHAnsi"/>
          <w:i/>
          <w:iCs/>
          <w:color w:val="000000" w:themeColor="text1"/>
          <w:lang w:val="en-GB"/>
        </w:rPr>
      </w:pPr>
    </w:p>
    <w:p w14:paraId="53C3DE6A" w14:textId="77777777" w:rsidR="00105EC3" w:rsidRPr="00603175" w:rsidRDefault="00105EC3" w:rsidP="00105EC3">
      <w:pPr>
        <w:ind w:left="360"/>
        <w:jc w:val="both"/>
        <w:rPr>
          <w:rFonts w:asciiTheme="minorHAnsi" w:hAnsiTheme="minorHAnsi" w:cstheme="minorHAnsi"/>
          <w:i/>
          <w:iCs/>
          <w:color w:val="000000" w:themeColor="text1"/>
          <w:lang w:val="en-GB"/>
        </w:rPr>
      </w:pPr>
    </w:p>
    <w:p w14:paraId="1C387814" w14:textId="77777777" w:rsidR="00105EC3" w:rsidRPr="00603175" w:rsidRDefault="00105EC3" w:rsidP="00105EC3">
      <w:pPr>
        <w:ind w:left="360"/>
        <w:jc w:val="both"/>
        <w:rPr>
          <w:rFonts w:asciiTheme="minorHAnsi" w:hAnsiTheme="minorHAnsi" w:cstheme="minorHAnsi"/>
          <w:i/>
          <w:iCs/>
          <w:color w:val="000000" w:themeColor="text1"/>
          <w:lang w:val="en-GB"/>
        </w:rPr>
      </w:pPr>
    </w:p>
    <w:p w14:paraId="600D7544" w14:textId="77777777" w:rsidR="00CE74D2" w:rsidRPr="00230A09" w:rsidRDefault="00CE74D2" w:rsidP="00CE74D2">
      <w:pPr>
        <w:ind w:left="308"/>
        <w:jc w:val="both"/>
        <w:rPr>
          <w:rFonts w:asciiTheme="minorHAnsi" w:hAnsiTheme="minorHAnsi" w:cstheme="minorHAnsi"/>
          <w:color w:val="000000" w:themeColor="text1"/>
          <w:lang w:val="en-GB"/>
        </w:rPr>
      </w:pPr>
      <w:r w:rsidRPr="00230A09">
        <w:rPr>
          <w:rFonts w:asciiTheme="minorHAnsi" w:hAnsiTheme="minorHAnsi" w:cstheme="minorHAnsi"/>
          <w:color w:val="000000" w:themeColor="text1"/>
          <w:lang w:val="en-GB"/>
        </w:rPr>
        <w:t>b) Point evaluation based on the grade point average (GPA) in two subjects (Mathematics, Physics) obtained during individual years of secondary school:</w:t>
      </w:r>
    </w:p>
    <w:tbl>
      <w:tblPr>
        <w:tblStyle w:val="Mriekatabuky"/>
        <w:tblW w:w="0" w:type="auto"/>
        <w:tblInd w:w="360" w:type="dxa"/>
        <w:tblLook w:val="04A0" w:firstRow="1" w:lastRow="0" w:firstColumn="1" w:lastColumn="0" w:noHBand="0" w:noVBand="1"/>
      </w:tblPr>
      <w:tblGrid>
        <w:gridCol w:w="2000"/>
        <w:gridCol w:w="2001"/>
      </w:tblGrid>
      <w:tr w:rsidR="00105EC3" w:rsidRPr="00603175" w14:paraId="2BC2615E" w14:textId="77777777" w:rsidTr="003063F7">
        <w:tc>
          <w:tcPr>
            <w:tcW w:w="2000" w:type="dxa"/>
            <w:vAlign w:val="center"/>
          </w:tcPr>
          <w:p w14:paraId="27E06E0C" w14:textId="5F7DD8BC"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 xml:space="preserve">      </w:t>
            </w:r>
            <w:r w:rsidR="00CE74D2">
              <w:rPr>
                <w:rFonts w:asciiTheme="minorHAnsi" w:hAnsiTheme="minorHAnsi" w:cstheme="minorHAnsi"/>
                <w:color w:val="000000" w:themeColor="text1"/>
                <w:sz w:val="22"/>
                <w:szCs w:val="22"/>
                <w:lang w:val="en-GB"/>
              </w:rPr>
              <w:t>averages</w:t>
            </w:r>
          </w:p>
        </w:tc>
        <w:tc>
          <w:tcPr>
            <w:tcW w:w="2001" w:type="dxa"/>
            <w:vAlign w:val="center"/>
          </w:tcPr>
          <w:p w14:paraId="67EA8A23" w14:textId="4E40FA3D" w:rsidR="00105EC3" w:rsidRPr="00603175" w:rsidRDefault="00CE74D2"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color w:val="000000" w:themeColor="text1"/>
                <w:lang w:val="en-GB"/>
              </w:rPr>
              <w:t>Number of points</w:t>
            </w:r>
          </w:p>
        </w:tc>
      </w:tr>
      <w:tr w:rsidR="00105EC3" w:rsidRPr="00603175" w14:paraId="062B9969" w14:textId="77777777" w:rsidTr="003063F7">
        <w:tc>
          <w:tcPr>
            <w:tcW w:w="2000" w:type="dxa"/>
            <w:vAlign w:val="center"/>
          </w:tcPr>
          <w:p w14:paraId="5B1E2844" w14:textId="376C5769"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 – 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25</w:t>
            </w:r>
          </w:p>
        </w:tc>
        <w:tc>
          <w:tcPr>
            <w:tcW w:w="2001" w:type="dxa"/>
            <w:vAlign w:val="center"/>
          </w:tcPr>
          <w:p w14:paraId="2EFB9FBB"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80</w:t>
            </w:r>
          </w:p>
        </w:tc>
      </w:tr>
      <w:tr w:rsidR="00105EC3" w:rsidRPr="00603175" w14:paraId="6120F01F" w14:textId="77777777" w:rsidTr="003063F7">
        <w:tc>
          <w:tcPr>
            <w:tcW w:w="2000" w:type="dxa"/>
            <w:vAlign w:val="center"/>
          </w:tcPr>
          <w:p w14:paraId="51A907C4" w14:textId="1D5F9550"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26 – 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50</w:t>
            </w:r>
          </w:p>
        </w:tc>
        <w:tc>
          <w:tcPr>
            <w:tcW w:w="2001" w:type="dxa"/>
            <w:vAlign w:val="center"/>
          </w:tcPr>
          <w:p w14:paraId="5C9BD400"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75</w:t>
            </w:r>
          </w:p>
        </w:tc>
      </w:tr>
      <w:tr w:rsidR="00105EC3" w:rsidRPr="00603175" w14:paraId="7A12FA45" w14:textId="77777777" w:rsidTr="003063F7">
        <w:tc>
          <w:tcPr>
            <w:tcW w:w="2000" w:type="dxa"/>
            <w:vAlign w:val="center"/>
          </w:tcPr>
          <w:p w14:paraId="47A8B339" w14:textId="6DBB9976"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51 – 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75</w:t>
            </w:r>
          </w:p>
        </w:tc>
        <w:tc>
          <w:tcPr>
            <w:tcW w:w="2001" w:type="dxa"/>
            <w:vAlign w:val="center"/>
          </w:tcPr>
          <w:p w14:paraId="2DF06301"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70</w:t>
            </w:r>
          </w:p>
        </w:tc>
      </w:tr>
      <w:tr w:rsidR="00105EC3" w:rsidRPr="00603175" w14:paraId="40C467CD" w14:textId="77777777" w:rsidTr="003063F7">
        <w:tc>
          <w:tcPr>
            <w:tcW w:w="2000" w:type="dxa"/>
            <w:vAlign w:val="center"/>
          </w:tcPr>
          <w:p w14:paraId="45183243" w14:textId="4EA963BD"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1</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76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w:t>
            </w:r>
          </w:p>
        </w:tc>
        <w:tc>
          <w:tcPr>
            <w:tcW w:w="2001" w:type="dxa"/>
            <w:vAlign w:val="center"/>
          </w:tcPr>
          <w:p w14:paraId="4C4CFE4B"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65</w:t>
            </w:r>
          </w:p>
        </w:tc>
      </w:tr>
      <w:tr w:rsidR="00105EC3" w:rsidRPr="00603175" w14:paraId="1B7F0A07" w14:textId="77777777" w:rsidTr="003063F7">
        <w:tc>
          <w:tcPr>
            <w:tcW w:w="2000" w:type="dxa"/>
            <w:vAlign w:val="center"/>
          </w:tcPr>
          <w:p w14:paraId="49CEF42C" w14:textId="4536C5B6"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01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25</w:t>
            </w:r>
          </w:p>
        </w:tc>
        <w:tc>
          <w:tcPr>
            <w:tcW w:w="2001" w:type="dxa"/>
            <w:vAlign w:val="center"/>
          </w:tcPr>
          <w:p w14:paraId="237A0784" w14:textId="77777777" w:rsidR="00105EC3" w:rsidRPr="00603175" w:rsidRDefault="00105EC3" w:rsidP="003063F7">
            <w:pPr>
              <w:jc w:val="center"/>
              <w:rPr>
                <w:rFonts w:asciiTheme="minorHAnsi" w:hAnsiTheme="minorHAnsi" w:cstheme="minorHAnsi"/>
                <w:i/>
                <w:iCs/>
                <w:color w:val="000000" w:themeColor="text1"/>
                <w:sz w:val="22"/>
                <w:szCs w:val="22"/>
                <w:lang w:val="en-GB"/>
              </w:rPr>
            </w:pPr>
            <w:r w:rsidRPr="00603175">
              <w:rPr>
                <w:rFonts w:asciiTheme="minorHAnsi" w:hAnsiTheme="minorHAnsi" w:cstheme="minorHAnsi"/>
                <w:color w:val="000000" w:themeColor="text1"/>
                <w:sz w:val="22"/>
                <w:szCs w:val="22"/>
                <w:lang w:val="en-GB"/>
              </w:rPr>
              <w:t>60</w:t>
            </w:r>
          </w:p>
        </w:tc>
      </w:tr>
      <w:tr w:rsidR="00105EC3" w:rsidRPr="00603175" w14:paraId="2FA7558F" w14:textId="77777777" w:rsidTr="003063F7">
        <w:tc>
          <w:tcPr>
            <w:tcW w:w="2000" w:type="dxa"/>
            <w:vAlign w:val="center"/>
          </w:tcPr>
          <w:p w14:paraId="73B0756C" w14:textId="329C387A"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26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50</w:t>
            </w:r>
          </w:p>
        </w:tc>
        <w:tc>
          <w:tcPr>
            <w:tcW w:w="2001" w:type="dxa"/>
            <w:vAlign w:val="center"/>
          </w:tcPr>
          <w:p w14:paraId="5395A9FE" w14:textId="77777777"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55</w:t>
            </w:r>
          </w:p>
        </w:tc>
      </w:tr>
      <w:tr w:rsidR="00105EC3" w:rsidRPr="00603175" w14:paraId="26CA609B" w14:textId="77777777" w:rsidTr="003063F7">
        <w:tc>
          <w:tcPr>
            <w:tcW w:w="2000" w:type="dxa"/>
            <w:vAlign w:val="center"/>
          </w:tcPr>
          <w:p w14:paraId="418A1216" w14:textId="6A101ADF"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51 – 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75</w:t>
            </w:r>
          </w:p>
        </w:tc>
        <w:tc>
          <w:tcPr>
            <w:tcW w:w="2001" w:type="dxa"/>
            <w:vAlign w:val="center"/>
          </w:tcPr>
          <w:p w14:paraId="68E4A63D" w14:textId="77777777"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50</w:t>
            </w:r>
          </w:p>
        </w:tc>
      </w:tr>
      <w:tr w:rsidR="00105EC3" w:rsidRPr="00603175" w14:paraId="527ADF5C" w14:textId="77777777" w:rsidTr="003063F7">
        <w:tc>
          <w:tcPr>
            <w:tcW w:w="2000" w:type="dxa"/>
            <w:vAlign w:val="center"/>
          </w:tcPr>
          <w:p w14:paraId="3CE8EA1C" w14:textId="6D5FC786"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2</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76 – 3</w:t>
            </w:r>
            <w:r w:rsidR="008455B1">
              <w:rPr>
                <w:rFonts w:asciiTheme="minorHAnsi" w:hAnsiTheme="minorHAnsi" w:cstheme="minorHAnsi"/>
                <w:color w:val="000000" w:themeColor="text1"/>
                <w:sz w:val="22"/>
                <w:szCs w:val="22"/>
                <w:lang w:val="en-GB"/>
              </w:rPr>
              <w:t>.</w:t>
            </w:r>
            <w:r w:rsidRPr="00603175">
              <w:rPr>
                <w:rFonts w:asciiTheme="minorHAnsi" w:hAnsiTheme="minorHAnsi" w:cstheme="minorHAnsi"/>
                <w:color w:val="000000" w:themeColor="text1"/>
                <w:sz w:val="22"/>
                <w:szCs w:val="22"/>
                <w:lang w:val="en-GB"/>
              </w:rPr>
              <w:t>00</w:t>
            </w:r>
          </w:p>
        </w:tc>
        <w:tc>
          <w:tcPr>
            <w:tcW w:w="2001" w:type="dxa"/>
            <w:vAlign w:val="center"/>
          </w:tcPr>
          <w:p w14:paraId="4E69F8CE" w14:textId="77777777"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45</w:t>
            </w:r>
          </w:p>
        </w:tc>
      </w:tr>
      <w:tr w:rsidR="00105EC3" w:rsidRPr="00603175" w14:paraId="069EDEBA" w14:textId="77777777" w:rsidTr="003063F7">
        <w:tc>
          <w:tcPr>
            <w:tcW w:w="2000" w:type="dxa"/>
            <w:vAlign w:val="center"/>
          </w:tcPr>
          <w:p w14:paraId="4ED7B52C" w14:textId="0D13E34D" w:rsidR="00105EC3" w:rsidRPr="00603175" w:rsidRDefault="008455B1" w:rsidP="003063F7">
            <w:pPr>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over</w:t>
            </w:r>
            <w:r w:rsidR="00105EC3" w:rsidRPr="00603175">
              <w:rPr>
                <w:rFonts w:asciiTheme="minorHAnsi" w:hAnsiTheme="minorHAnsi" w:cstheme="minorHAnsi"/>
                <w:color w:val="000000" w:themeColor="text1"/>
                <w:sz w:val="22"/>
                <w:szCs w:val="22"/>
                <w:lang w:val="en-GB"/>
              </w:rPr>
              <w:t xml:space="preserve"> 3</w:t>
            </w:r>
            <w:r>
              <w:rPr>
                <w:rFonts w:asciiTheme="minorHAnsi" w:hAnsiTheme="minorHAnsi" w:cstheme="minorHAnsi"/>
                <w:color w:val="000000" w:themeColor="text1"/>
                <w:sz w:val="22"/>
                <w:szCs w:val="22"/>
                <w:lang w:val="en-GB"/>
              </w:rPr>
              <w:t>.</w:t>
            </w:r>
            <w:r w:rsidR="00105EC3" w:rsidRPr="00603175">
              <w:rPr>
                <w:rFonts w:asciiTheme="minorHAnsi" w:hAnsiTheme="minorHAnsi" w:cstheme="minorHAnsi"/>
                <w:color w:val="000000" w:themeColor="text1"/>
                <w:sz w:val="22"/>
                <w:szCs w:val="22"/>
                <w:lang w:val="en-GB"/>
              </w:rPr>
              <w:t>01</w:t>
            </w:r>
          </w:p>
        </w:tc>
        <w:tc>
          <w:tcPr>
            <w:tcW w:w="2001" w:type="dxa"/>
            <w:vAlign w:val="center"/>
          </w:tcPr>
          <w:p w14:paraId="444E3047" w14:textId="77777777" w:rsidR="00105EC3" w:rsidRPr="00603175" w:rsidRDefault="00105EC3" w:rsidP="003063F7">
            <w:pPr>
              <w:jc w:val="center"/>
              <w:rPr>
                <w:rFonts w:asciiTheme="minorHAnsi" w:hAnsiTheme="minorHAnsi" w:cstheme="minorHAnsi"/>
                <w:color w:val="000000" w:themeColor="text1"/>
                <w:sz w:val="22"/>
                <w:szCs w:val="22"/>
                <w:lang w:val="en-GB"/>
              </w:rPr>
            </w:pPr>
            <w:r w:rsidRPr="00603175">
              <w:rPr>
                <w:rFonts w:asciiTheme="minorHAnsi" w:hAnsiTheme="minorHAnsi" w:cstheme="minorHAnsi"/>
                <w:color w:val="000000" w:themeColor="text1"/>
                <w:sz w:val="22"/>
                <w:szCs w:val="22"/>
                <w:lang w:val="en-GB"/>
              </w:rPr>
              <w:t>40</w:t>
            </w:r>
          </w:p>
        </w:tc>
      </w:tr>
    </w:tbl>
    <w:p w14:paraId="7C35EAE3" w14:textId="77777777" w:rsidR="008A652C" w:rsidRPr="00603175" w:rsidRDefault="008A652C">
      <w:pPr>
        <w:pStyle w:val="Zkladntext"/>
        <w:spacing w:before="34"/>
        <w:rPr>
          <w:b/>
          <w:lang w:val="en-GB"/>
        </w:rPr>
      </w:pPr>
    </w:p>
    <w:sectPr w:rsidR="008A652C" w:rsidRPr="00603175">
      <w:pgSz w:w="11920" w:h="16850"/>
      <w:pgMar w:top="1360" w:right="1280" w:bottom="1260" w:left="1280"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A88C" w14:textId="77777777" w:rsidR="00F47755" w:rsidRDefault="00F47755">
      <w:r>
        <w:separator/>
      </w:r>
    </w:p>
  </w:endnote>
  <w:endnote w:type="continuationSeparator" w:id="0">
    <w:p w14:paraId="3919E8A4" w14:textId="77777777" w:rsidR="00F47755" w:rsidRDefault="00F4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804B46">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7"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804B46">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268A" w14:textId="77777777" w:rsidR="00F47755" w:rsidRDefault="00F47755">
      <w:r>
        <w:separator/>
      </w:r>
    </w:p>
  </w:footnote>
  <w:footnote w:type="continuationSeparator" w:id="0">
    <w:p w14:paraId="0C4188D3" w14:textId="77777777" w:rsidR="00F47755" w:rsidRDefault="00F4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154"/>
    <w:multiLevelType w:val="hybridMultilevel"/>
    <w:tmpl w:val="DF4CEA7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2"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3" w15:restartNumberingAfterBreak="0">
    <w:nsid w:val="20CB4F8B"/>
    <w:multiLevelType w:val="hybridMultilevel"/>
    <w:tmpl w:val="49C8E992"/>
    <w:lvl w:ilvl="0" w:tplc="A002FBEC">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4"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5" w15:restartNumberingAfterBreak="0">
    <w:nsid w:val="2E467442"/>
    <w:multiLevelType w:val="hybridMultilevel"/>
    <w:tmpl w:val="D8527198"/>
    <w:lvl w:ilvl="0" w:tplc="175EF992">
      <w:start w:val="3"/>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6" w15:restartNumberingAfterBreak="0">
    <w:nsid w:val="37F31FDB"/>
    <w:multiLevelType w:val="hybridMultilevel"/>
    <w:tmpl w:val="7824A0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9C6510"/>
    <w:multiLevelType w:val="hybridMultilevel"/>
    <w:tmpl w:val="CB8E7CA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BF0368"/>
    <w:multiLevelType w:val="hybridMultilevel"/>
    <w:tmpl w:val="913643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9E3C3C"/>
    <w:multiLevelType w:val="hybridMultilevel"/>
    <w:tmpl w:val="1E449794"/>
    <w:lvl w:ilvl="0" w:tplc="8EA845DA">
      <w:start w:val="1"/>
      <w:numFmt w:val="lowerLetter"/>
      <w:lvlText w:val="%1)"/>
      <w:lvlJc w:val="left"/>
      <w:pPr>
        <w:ind w:left="638" w:hanging="360"/>
      </w:pPr>
      <w:rPr>
        <w:rFonts w:cs="Times New Roman" w:hint="default"/>
        <w:b/>
        <w:bCs/>
      </w:rPr>
    </w:lvl>
    <w:lvl w:ilvl="1" w:tplc="041B0019">
      <w:start w:val="1"/>
      <w:numFmt w:val="lowerLetter"/>
      <w:lvlText w:val="%2."/>
      <w:lvlJc w:val="left"/>
      <w:pPr>
        <w:ind w:left="1358" w:hanging="360"/>
      </w:pPr>
      <w:rPr>
        <w:rFonts w:cs="Times New Roman"/>
      </w:rPr>
    </w:lvl>
    <w:lvl w:ilvl="2" w:tplc="041B001B">
      <w:start w:val="1"/>
      <w:numFmt w:val="lowerRoman"/>
      <w:lvlText w:val="%3."/>
      <w:lvlJc w:val="right"/>
      <w:pPr>
        <w:ind w:left="2078" w:hanging="180"/>
      </w:pPr>
      <w:rPr>
        <w:rFonts w:cs="Times New Roman"/>
      </w:rPr>
    </w:lvl>
    <w:lvl w:ilvl="3" w:tplc="041B000F">
      <w:start w:val="1"/>
      <w:numFmt w:val="decimal"/>
      <w:lvlText w:val="%4."/>
      <w:lvlJc w:val="left"/>
      <w:pPr>
        <w:ind w:left="2798" w:hanging="360"/>
      </w:pPr>
      <w:rPr>
        <w:rFonts w:cs="Times New Roman"/>
      </w:rPr>
    </w:lvl>
    <w:lvl w:ilvl="4" w:tplc="041B0019">
      <w:start w:val="1"/>
      <w:numFmt w:val="lowerLetter"/>
      <w:lvlText w:val="%5."/>
      <w:lvlJc w:val="left"/>
      <w:pPr>
        <w:ind w:left="3518" w:hanging="360"/>
      </w:pPr>
      <w:rPr>
        <w:rFonts w:cs="Times New Roman"/>
      </w:rPr>
    </w:lvl>
    <w:lvl w:ilvl="5" w:tplc="041B001B">
      <w:start w:val="1"/>
      <w:numFmt w:val="lowerRoman"/>
      <w:lvlText w:val="%6."/>
      <w:lvlJc w:val="right"/>
      <w:pPr>
        <w:ind w:left="4238" w:hanging="180"/>
      </w:pPr>
      <w:rPr>
        <w:rFonts w:cs="Times New Roman"/>
      </w:rPr>
    </w:lvl>
    <w:lvl w:ilvl="6" w:tplc="041B000F">
      <w:start w:val="1"/>
      <w:numFmt w:val="decimal"/>
      <w:lvlText w:val="%7."/>
      <w:lvlJc w:val="left"/>
      <w:pPr>
        <w:ind w:left="4958" w:hanging="360"/>
      </w:pPr>
      <w:rPr>
        <w:rFonts w:cs="Times New Roman"/>
      </w:rPr>
    </w:lvl>
    <w:lvl w:ilvl="7" w:tplc="041B0019">
      <w:start w:val="1"/>
      <w:numFmt w:val="lowerLetter"/>
      <w:lvlText w:val="%8."/>
      <w:lvlJc w:val="left"/>
      <w:pPr>
        <w:ind w:left="5678" w:hanging="360"/>
      </w:pPr>
      <w:rPr>
        <w:rFonts w:cs="Times New Roman"/>
      </w:rPr>
    </w:lvl>
    <w:lvl w:ilvl="8" w:tplc="041B001B">
      <w:start w:val="1"/>
      <w:numFmt w:val="lowerRoman"/>
      <w:lvlText w:val="%9."/>
      <w:lvlJc w:val="right"/>
      <w:pPr>
        <w:ind w:left="6398" w:hanging="180"/>
      </w:pPr>
      <w:rPr>
        <w:rFonts w:cs="Times New Roman"/>
      </w:rPr>
    </w:lvl>
  </w:abstractNum>
  <w:abstractNum w:abstractNumId="10" w15:restartNumberingAfterBreak="0">
    <w:nsid w:val="478A3A36"/>
    <w:multiLevelType w:val="hybridMultilevel"/>
    <w:tmpl w:val="CCB4ADE8"/>
    <w:lvl w:ilvl="0" w:tplc="041B000B">
      <w:start w:val="1"/>
      <w:numFmt w:val="bullet"/>
      <w:lvlText w:val=""/>
      <w:lvlJc w:val="left"/>
      <w:pPr>
        <w:ind w:left="1216" w:hanging="360"/>
      </w:pPr>
      <w:rPr>
        <w:rFonts w:ascii="Wingdings" w:hAnsi="Wingdings" w:hint="default"/>
      </w:rPr>
    </w:lvl>
    <w:lvl w:ilvl="1" w:tplc="041B0003" w:tentative="1">
      <w:start w:val="1"/>
      <w:numFmt w:val="bullet"/>
      <w:lvlText w:val="o"/>
      <w:lvlJc w:val="left"/>
      <w:pPr>
        <w:ind w:left="1936" w:hanging="360"/>
      </w:pPr>
      <w:rPr>
        <w:rFonts w:ascii="Courier New" w:hAnsi="Courier New" w:cs="Courier New" w:hint="default"/>
      </w:rPr>
    </w:lvl>
    <w:lvl w:ilvl="2" w:tplc="041B0005" w:tentative="1">
      <w:start w:val="1"/>
      <w:numFmt w:val="bullet"/>
      <w:lvlText w:val=""/>
      <w:lvlJc w:val="left"/>
      <w:pPr>
        <w:ind w:left="2656" w:hanging="360"/>
      </w:pPr>
      <w:rPr>
        <w:rFonts w:ascii="Wingdings" w:hAnsi="Wingdings" w:hint="default"/>
      </w:rPr>
    </w:lvl>
    <w:lvl w:ilvl="3" w:tplc="041B0001" w:tentative="1">
      <w:start w:val="1"/>
      <w:numFmt w:val="bullet"/>
      <w:lvlText w:val=""/>
      <w:lvlJc w:val="left"/>
      <w:pPr>
        <w:ind w:left="3376" w:hanging="360"/>
      </w:pPr>
      <w:rPr>
        <w:rFonts w:ascii="Symbol" w:hAnsi="Symbol" w:hint="default"/>
      </w:rPr>
    </w:lvl>
    <w:lvl w:ilvl="4" w:tplc="041B0003" w:tentative="1">
      <w:start w:val="1"/>
      <w:numFmt w:val="bullet"/>
      <w:lvlText w:val="o"/>
      <w:lvlJc w:val="left"/>
      <w:pPr>
        <w:ind w:left="4096" w:hanging="360"/>
      </w:pPr>
      <w:rPr>
        <w:rFonts w:ascii="Courier New" w:hAnsi="Courier New" w:cs="Courier New" w:hint="default"/>
      </w:rPr>
    </w:lvl>
    <w:lvl w:ilvl="5" w:tplc="041B0005" w:tentative="1">
      <w:start w:val="1"/>
      <w:numFmt w:val="bullet"/>
      <w:lvlText w:val=""/>
      <w:lvlJc w:val="left"/>
      <w:pPr>
        <w:ind w:left="4816" w:hanging="360"/>
      </w:pPr>
      <w:rPr>
        <w:rFonts w:ascii="Wingdings" w:hAnsi="Wingdings" w:hint="default"/>
      </w:rPr>
    </w:lvl>
    <w:lvl w:ilvl="6" w:tplc="041B0001" w:tentative="1">
      <w:start w:val="1"/>
      <w:numFmt w:val="bullet"/>
      <w:lvlText w:val=""/>
      <w:lvlJc w:val="left"/>
      <w:pPr>
        <w:ind w:left="5536" w:hanging="360"/>
      </w:pPr>
      <w:rPr>
        <w:rFonts w:ascii="Symbol" w:hAnsi="Symbol" w:hint="default"/>
      </w:rPr>
    </w:lvl>
    <w:lvl w:ilvl="7" w:tplc="041B0003" w:tentative="1">
      <w:start w:val="1"/>
      <w:numFmt w:val="bullet"/>
      <w:lvlText w:val="o"/>
      <w:lvlJc w:val="left"/>
      <w:pPr>
        <w:ind w:left="6256" w:hanging="360"/>
      </w:pPr>
      <w:rPr>
        <w:rFonts w:ascii="Courier New" w:hAnsi="Courier New" w:cs="Courier New" w:hint="default"/>
      </w:rPr>
    </w:lvl>
    <w:lvl w:ilvl="8" w:tplc="041B0005" w:tentative="1">
      <w:start w:val="1"/>
      <w:numFmt w:val="bullet"/>
      <w:lvlText w:val=""/>
      <w:lvlJc w:val="left"/>
      <w:pPr>
        <w:ind w:left="6976" w:hanging="360"/>
      </w:pPr>
      <w:rPr>
        <w:rFonts w:ascii="Wingdings" w:hAnsi="Wingdings" w:hint="default"/>
      </w:rPr>
    </w:lvl>
  </w:abstractNum>
  <w:abstractNum w:abstractNumId="11" w15:restartNumberingAfterBreak="0">
    <w:nsid w:val="4CD55A96"/>
    <w:multiLevelType w:val="hybridMultilevel"/>
    <w:tmpl w:val="ED9E88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4A6292A"/>
    <w:multiLevelType w:val="hybridMultilevel"/>
    <w:tmpl w:val="B2CCB754"/>
    <w:lvl w:ilvl="0" w:tplc="041B0003">
      <w:start w:val="1"/>
      <w:numFmt w:val="bullet"/>
      <w:lvlText w:val="o"/>
      <w:lvlJc w:val="left"/>
      <w:pPr>
        <w:ind w:left="856" w:hanging="360"/>
      </w:pPr>
      <w:rPr>
        <w:rFonts w:ascii="Courier New" w:hAnsi="Courier New" w:cs="Courier New" w:hint="default"/>
      </w:rPr>
    </w:lvl>
    <w:lvl w:ilvl="1" w:tplc="041B0003" w:tentative="1">
      <w:start w:val="1"/>
      <w:numFmt w:val="bullet"/>
      <w:lvlText w:val="o"/>
      <w:lvlJc w:val="left"/>
      <w:pPr>
        <w:ind w:left="1576" w:hanging="360"/>
      </w:pPr>
      <w:rPr>
        <w:rFonts w:ascii="Courier New" w:hAnsi="Courier New" w:cs="Courier New" w:hint="default"/>
      </w:rPr>
    </w:lvl>
    <w:lvl w:ilvl="2" w:tplc="041B0005" w:tentative="1">
      <w:start w:val="1"/>
      <w:numFmt w:val="bullet"/>
      <w:lvlText w:val=""/>
      <w:lvlJc w:val="left"/>
      <w:pPr>
        <w:ind w:left="2296" w:hanging="360"/>
      </w:pPr>
      <w:rPr>
        <w:rFonts w:ascii="Wingdings" w:hAnsi="Wingdings" w:hint="default"/>
      </w:rPr>
    </w:lvl>
    <w:lvl w:ilvl="3" w:tplc="041B0001" w:tentative="1">
      <w:start w:val="1"/>
      <w:numFmt w:val="bullet"/>
      <w:lvlText w:val=""/>
      <w:lvlJc w:val="left"/>
      <w:pPr>
        <w:ind w:left="3016" w:hanging="360"/>
      </w:pPr>
      <w:rPr>
        <w:rFonts w:ascii="Symbol" w:hAnsi="Symbol" w:hint="default"/>
      </w:rPr>
    </w:lvl>
    <w:lvl w:ilvl="4" w:tplc="041B0003" w:tentative="1">
      <w:start w:val="1"/>
      <w:numFmt w:val="bullet"/>
      <w:lvlText w:val="o"/>
      <w:lvlJc w:val="left"/>
      <w:pPr>
        <w:ind w:left="3736" w:hanging="360"/>
      </w:pPr>
      <w:rPr>
        <w:rFonts w:ascii="Courier New" w:hAnsi="Courier New" w:cs="Courier New" w:hint="default"/>
      </w:rPr>
    </w:lvl>
    <w:lvl w:ilvl="5" w:tplc="041B0005" w:tentative="1">
      <w:start w:val="1"/>
      <w:numFmt w:val="bullet"/>
      <w:lvlText w:val=""/>
      <w:lvlJc w:val="left"/>
      <w:pPr>
        <w:ind w:left="4456" w:hanging="360"/>
      </w:pPr>
      <w:rPr>
        <w:rFonts w:ascii="Wingdings" w:hAnsi="Wingdings" w:hint="default"/>
      </w:rPr>
    </w:lvl>
    <w:lvl w:ilvl="6" w:tplc="041B0001" w:tentative="1">
      <w:start w:val="1"/>
      <w:numFmt w:val="bullet"/>
      <w:lvlText w:val=""/>
      <w:lvlJc w:val="left"/>
      <w:pPr>
        <w:ind w:left="5176" w:hanging="360"/>
      </w:pPr>
      <w:rPr>
        <w:rFonts w:ascii="Symbol" w:hAnsi="Symbol" w:hint="default"/>
      </w:rPr>
    </w:lvl>
    <w:lvl w:ilvl="7" w:tplc="041B0003" w:tentative="1">
      <w:start w:val="1"/>
      <w:numFmt w:val="bullet"/>
      <w:lvlText w:val="o"/>
      <w:lvlJc w:val="left"/>
      <w:pPr>
        <w:ind w:left="5896" w:hanging="360"/>
      </w:pPr>
      <w:rPr>
        <w:rFonts w:ascii="Courier New" w:hAnsi="Courier New" w:cs="Courier New" w:hint="default"/>
      </w:rPr>
    </w:lvl>
    <w:lvl w:ilvl="8" w:tplc="041B0005" w:tentative="1">
      <w:start w:val="1"/>
      <w:numFmt w:val="bullet"/>
      <w:lvlText w:val=""/>
      <w:lvlJc w:val="left"/>
      <w:pPr>
        <w:ind w:left="6616" w:hanging="360"/>
      </w:pPr>
      <w:rPr>
        <w:rFonts w:ascii="Wingdings" w:hAnsi="Wingdings" w:hint="default"/>
      </w:rPr>
    </w:lvl>
  </w:abstractNum>
  <w:abstractNum w:abstractNumId="13" w15:restartNumberingAfterBreak="0">
    <w:nsid w:val="5D1665CE"/>
    <w:multiLevelType w:val="hybridMultilevel"/>
    <w:tmpl w:val="C2DC1D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0C76AD"/>
    <w:multiLevelType w:val="hybridMultilevel"/>
    <w:tmpl w:val="20E681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772F60"/>
    <w:multiLevelType w:val="hybridMultilevel"/>
    <w:tmpl w:val="B4D0349E"/>
    <w:lvl w:ilvl="0" w:tplc="5D06354A">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16" w15:restartNumberingAfterBreak="0">
    <w:nsid w:val="76112F62"/>
    <w:multiLevelType w:val="hybridMultilevel"/>
    <w:tmpl w:val="F482B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75520410">
    <w:abstractNumId w:val="4"/>
  </w:num>
  <w:num w:numId="2" w16cid:durableId="1970937235">
    <w:abstractNumId w:val="1"/>
  </w:num>
  <w:num w:numId="3" w16cid:durableId="495149236">
    <w:abstractNumId w:val="2"/>
  </w:num>
  <w:num w:numId="4" w16cid:durableId="1178816175">
    <w:abstractNumId w:val="5"/>
  </w:num>
  <w:num w:numId="5" w16cid:durableId="857885469">
    <w:abstractNumId w:val="7"/>
  </w:num>
  <w:num w:numId="6" w16cid:durableId="1308315452">
    <w:abstractNumId w:val="3"/>
  </w:num>
  <w:num w:numId="7" w16cid:durableId="890842742">
    <w:abstractNumId w:val="12"/>
  </w:num>
  <w:num w:numId="8" w16cid:durableId="1256747845">
    <w:abstractNumId w:val="15"/>
  </w:num>
  <w:num w:numId="9" w16cid:durableId="494956965">
    <w:abstractNumId w:val="9"/>
  </w:num>
  <w:num w:numId="10" w16cid:durableId="828903039">
    <w:abstractNumId w:val="13"/>
  </w:num>
  <w:num w:numId="11" w16cid:durableId="547186501">
    <w:abstractNumId w:val="0"/>
  </w:num>
  <w:num w:numId="12" w16cid:durableId="1550610647">
    <w:abstractNumId w:val="10"/>
  </w:num>
  <w:num w:numId="13" w16cid:durableId="1497919071">
    <w:abstractNumId w:val="16"/>
  </w:num>
  <w:num w:numId="14" w16cid:durableId="154150376">
    <w:abstractNumId w:val="14"/>
  </w:num>
  <w:num w:numId="15" w16cid:durableId="90127351">
    <w:abstractNumId w:val="6"/>
  </w:num>
  <w:num w:numId="16" w16cid:durableId="1722167347">
    <w:abstractNumId w:val="11"/>
  </w:num>
  <w:num w:numId="17" w16cid:durableId="1679041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2C"/>
    <w:rsid w:val="0000334B"/>
    <w:rsid w:val="0002231F"/>
    <w:rsid w:val="00105EC3"/>
    <w:rsid w:val="001165D1"/>
    <w:rsid w:val="001548E9"/>
    <w:rsid w:val="00174253"/>
    <w:rsid w:val="001B0557"/>
    <w:rsid w:val="001B1FF5"/>
    <w:rsid w:val="001B4C8F"/>
    <w:rsid w:val="001F5FB3"/>
    <w:rsid w:val="0020289E"/>
    <w:rsid w:val="00257348"/>
    <w:rsid w:val="00296CAE"/>
    <w:rsid w:val="002D3F83"/>
    <w:rsid w:val="00353944"/>
    <w:rsid w:val="00383088"/>
    <w:rsid w:val="003D3D97"/>
    <w:rsid w:val="004067C0"/>
    <w:rsid w:val="00426DC5"/>
    <w:rsid w:val="0048175E"/>
    <w:rsid w:val="004C74FC"/>
    <w:rsid w:val="004F09AE"/>
    <w:rsid w:val="00510582"/>
    <w:rsid w:val="00516D16"/>
    <w:rsid w:val="00591F50"/>
    <w:rsid w:val="005D5E69"/>
    <w:rsid w:val="005E622F"/>
    <w:rsid w:val="00603175"/>
    <w:rsid w:val="00617610"/>
    <w:rsid w:val="006268C3"/>
    <w:rsid w:val="00645727"/>
    <w:rsid w:val="00652681"/>
    <w:rsid w:val="006A1432"/>
    <w:rsid w:val="006A22F9"/>
    <w:rsid w:val="006D2650"/>
    <w:rsid w:val="006D4311"/>
    <w:rsid w:val="007132B5"/>
    <w:rsid w:val="007630FD"/>
    <w:rsid w:val="007A01DC"/>
    <w:rsid w:val="007B5B43"/>
    <w:rsid w:val="007C4FF7"/>
    <w:rsid w:val="00800CAF"/>
    <w:rsid w:val="00804B46"/>
    <w:rsid w:val="008147BB"/>
    <w:rsid w:val="0084335B"/>
    <w:rsid w:val="008455B1"/>
    <w:rsid w:val="00876615"/>
    <w:rsid w:val="008A652C"/>
    <w:rsid w:val="008B37D0"/>
    <w:rsid w:val="008C2795"/>
    <w:rsid w:val="00953125"/>
    <w:rsid w:val="00961F1D"/>
    <w:rsid w:val="0097291C"/>
    <w:rsid w:val="00981DE0"/>
    <w:rsid w:val="00984BBE"/>
    <w:rsid w:val="009A17C3"/>
    <w:rsid w:val="009E470C"/>
    <w:rsid w:val="00A02351"/>
    <w:rsid w:val="00A055A7"/>
    <w:rsid w:val="00A13439"/>
    <w:rsid w:val="00B05F05"/>
    <w:rsid w:val="00BB3BBA"/>
    <w:rsid w:val="00C0670E"/>
    <w:rsid w:val="00C53633"/>
    <w:rsid w:val="00C60A5A"/>
    <w:rsid w:val="00C672F5"/>
    <w:rsid w:val="00CA462D"/>
    <w:rsid w:val="00CA4639"/>
    <w:rsid w:val="00CB2BE5"/>
    <w:rsid w:val="00CC7099"/>
    <w:rsid w:val="00CE74D2"/>
    <w:rsid w:val="00CF5F56"/>
    <w:rsid w:val="00D158E8"/>
    <w:rsid w:val="00D46132"/>
    <w:rsid w:val="00DD18C1"/>
    <w:rsid w:val="00EA2520"/>
    <w:rsid w:val="00EC0014"/>
    <w:rsid w:val="00F47755"/>
    <w:rsid w:val="00FD25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4B48"/>
  <w15:docId w15:val="{49669B8E-884F-4523-9D35-ED3A2F04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99"/>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customStyle="1" w:styleId="Nevyrieenzmienka1">
    <w:name w:val="Nevyriešená zmienka1"/>
    <w:basedOn w:val="Predvolenpsmoodseku"/>
    <w:uiPriority w:val="99"/>
    <w:semiHidden/>
    <w:unhideWhenUsed/>
    <w:rsid w:val="006268C3"/>
    <w:rPr>
      <w:color w:val="605E5C"/>
      <w:shd w:val="clear" w:color="auto" w:fill="E1DFDD"/>
    </w:rPr>
  </w:style>
  <w:style w:type="table" w:styleId="Mriekatabuky">
    <w:name w:val="Table Grid"/>
    <w:basedOn w:val="Normlnatabuka"/>
    <w:uiPriority w:val="99"/>
    <w:rsid w:val="00105EC3"/>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04B46"/>
    <w:rPr>
      <w:rFonts w:ascii="Tahoma" w:hAnsi="Tahoma" w:cs="Tahoma"/>
      <w:sz w:val="16"/>
      <w:szCs w:val="16"/>
    </w:rPr>
  </w:style>
  <w:style w:type="character" w:customStyle="1" w:styleId="TextbublinyChar">
    <w:name w:val="Text bubliny Char"/>
    <w:basedOn w:val="Predvolenpsmoodseku"/>
    <w:link w:val="Textbubliny"/>
    <w:uiPriority w:val="99"/>
    <w:semiHidden/>
    <w:rsid w:val="00804B46"/>
    <w:rPr>
      <w:rFonts w:ascii="Tahoma" w:eastAsia="Calibri" w:hAnsi="Tahoma" w:cs="Tahoma"/>
      <w:sz w:val="16"/>
      <w:szCs w:val="1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42CEAC6020794BBB8CF86307A347AB" ma:contentTypeVersion="4" ma:contentTypeDescription="Create a new document." ma:contentTypeScope="" ma:versionID="4cb7326f28d84cca9ccbbf2b3d55d3ba">
  <xsd:schema xmlns:xsd="http://www.w3.org/2001/XMLSchema" xmlns:xs="http://www.w3.org/2001/XMLSchema" xmlns:p="http://schemas.microsoft.com/office/2006/metadata/properties" xmlns:ns2="ca67a663-3a65-4df1-b319-e40837d2f06f" targetNamespace="http://schemas.microsoft.com/office/2006/metadata/properties" ma:root="true" ma:fieldsID="4fdc23b1620fd09d1b6bda6a9218cb50" ns2:_="">
    <xsd:import namespace="ca67a663-3a65-4df1-b319-e40837d2f0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7a663-3a65-4df1-b319-e40837d2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B58D9-4584-48B7-8A32-7A2BBE4E6A90}">
  <ds:schemaRefs>
    <ds:schemaRef ds:uri="http://schemas.microsoft.com/sharepoint/v3/contenttype/forms"/>
  </ds:schemaRefs>
</ds:datastoreItem>
</file>

<file path=customXml/itemProps2.xml><?xml version="1.0" encoding="utf-8"?>
<ds:datastoreItem xmlns:ds="http://schemas.openxmlformats.org/officeDocument/2006/customXml" ds:itemID="{8771A872-7746-4395-9418-2EE2145905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D3C6A6-DF8A-4613-ACB6-66A9300D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7a663-3a65-4df1-b319-e40837d2f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1299</Words>
  <Characters>7407</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Ján Kosiba</cp:lastModifiedBy>
  <cp:revision>21</cp:revision>
  <dcterms:created xsi:type="dcterms:W3CDTF">2025-10-28T10:10:00Z</dcterms:created>
  <dcterms:modified xsi:type="dcterms:W3CDTF">2026-03-11T09:17:00Z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0x0101009E42CEAC6020794BBB8CF86307A347AB</vt:lpwstr>
  </property>
</Properties>
</file>