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E6FB" w14:textId="03390BE2" w:rsidR="0052232E" w:rsidRPr="00BB6DDA" w:rsidRDefault="00BB6DDA" w:rsidP="0013235D">
      <w:pPr>
        <w:pStyle w:val="Nzov"/>
        <w:spacing w:line="276" w:lineRule="auto"/>
        <w:rPr>
          <w:lang w:val="en-GB"/>
        </w:rPr>
      </w:pPr>
      <w:r w:rsidRPr="00293270">
        <w:rPr>
          <w:noProof/>
          <w:sz w:val="24"/>
          <w:szCs w:val="24"/>
          <w:lang w:eastAsia="sk-SK"/>
        </w:rPr>
        <w:drawing>
          <wp:anchor distT="0" distB="0" distL="114300" distR="114300" simplePos="0" relativeHeight="251659264" behindDoc="1" locked="0" layoutInCell="1" allowOverlap="1" wp14:anchorId="3E897EBF" wp14:editId="764561A4">
            <wp:simplePos x="0" y="0"/>
            <wp:positionH relativeFrom="column">
              <wp:posOffset>-200722</wp:posOffset>
            </wp:positionH>
            <wp:positionV relativeFrom="paragraph">
              <wp:posOffset>84889</wp:posOffset>
            </wp:positionV>
            <wp:extent cx="1896110" cy="719137"/>
            <wp:effectExtent l="19050" t="0" r="8890" b="0"/>
            <wp:wrapTight wrapText="bothSides">
              <wp:wrapPolygon edited="0">
                <wp:start x="-217" y="1145"/>
                <wp:lineTo x="0" y="13166"/>
                <wp:lineTo x="868" y="19463"/>
                <wp:lineTo x="1302" y="20608"/>
                <wp:lineTo x="4123" y="21180"/>
                <wp:lineTo x="8681" y="21180"/>
                <wp:lineTo x="14974" y="21180"/>
                <wp:lineTo x="15408" y="19463"/>
                <wp:lineTo x="21701" y="10876"/>
                <wp:lineTo x="21701" y="10304"/>
                <wp:lineTo x="20399" y="1145"/>
                <wp:lineTo x="-217" y="1145"/>
              </wp:wrapPolygon>
            </wp:wrapTight>
            <wp:docPr id="2" name="Obrázek 0" descr="FZKI_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KI_AJ.png"/>
                    <pic:cNvPicPr/>
                  </pic:nvPicPr>
                  <pic:blipFill>
                    <a:blip r:embed="rId10"/>
                    <a:stretch>
                      <a:fillRect/>
                    </a:stretch>
                  </pic:blipFill>
                  <pic:spPr>
                    <a:xfrm>
                      <a:off x="0" y="0"/>
                      <a:ext cx="1896110" cy="719137"/>
                    </a:xfrm>
                    <a:prstGeom prst="rect">
                      <a:avLst/>
                    </a:prstGeom>
                  </pic:spPr>
                </pic:pic>
              </a:graphicData>
            </a:graphic>
          </wp:anchor>
        </w:drawing>
      </w:r>
      <w:r w:rsidR="0013235D" w:rsidRPr="00BB6DDA">
        <w:rPr>
          <w:lang w:val="en-GB"/>
        </w:rPr>
        <w:t>FACULTY OF HORTICULTURE AND LANDSCAPE ENGINEERING</w:t>
      </w:r>
    </w:p>
    <w:p w14:paraId="010D30D8" w14:textId="7C89207C" w:rsidR="008A652C" w:rsidRPr="00BB6DDA" w:rsidRDefault="00CC7099">
      <w:pPr>
        <w:spacing w:line="292" w:lineRule="exact"/>
        <w:ind w:left="2970"/>
        <w:rPr>
          <w:b/>
          <w:sz w:val="24"/>
          <w:lang w:val="en-GB"/>
        </w:rPr>
      </w:pPr>
      <w:r w:rsidRPr="00BB6DDA">
        <w:rPr>
          <w:b/>
          <w:sz w:val="24"/>
          <w:lang w:val="en-GB"/>
        </w:rPr>
        <w:t>SLOV</w:t>
      </w:r>
      <w:r w:rsidR="00BB6DDA">
        <w:rPr>
          <w:b/>
          <w:sz w:val="24"/>
          <w:lang w:val="en-GB"/>
        </w:rPr>
        <w:t>AK UNIVERSITY</w:t>
      </w:r>
      <w:r w:rsidRPr="00BB6DDA">
        <w:rPr>
          <w:b/>
          <w:spacing w:val="-10"/>
          <w:sz w:val="24"/>
          <w:lang w:val="en-GB"/>
        </w:rPr>
        <w:t xml:space="preserve"> </w:t>
      </w:r>
      <w:r w:rsidR="00BB6DDA">
        <w:rPr>
          <w:b/>
          <w:spacing w:val="-10"/>
          <w:sz w:val="24"/>
          <w:lang w:val="en-GB"/>
        </w:rPr>
        <w:t>OF AGRICULTURE IN</w:t>
      </w:r>
      <w:r w:rsidRPr="00BB6DDA">
        <w:rPr>
          <w:b/>
          <w:spacing w:val="-4"/>
          <w:sz w:val="24"/>
          <w:lang w:val="en-GB"/>
        </w:rPr>
        <w:t xml:space="preserve"> </w:t>
      </w:r>
      <w:r w:rsidRPr="00BB6DDA">
        <w:rPr>
          <w:b/>
          <w:spacing w:val="-2"/>
          <w:sz w:val="24"/>
          <w:lang w:val="en-GB"/>
        </w:rPr>
        <w:t>NITR</w:t>
      </w:r>
      <w:r w:rsidR="00BB6DDA">
        <w:rPr>
          <w:b/>
          <w:spacing w:val="-2"/>
          <w:sz w:val="24"/>
          <w:lang w:val="en-GB"/>
        </w:rPr>
        <w:t>A</w:t>
      </w:r>
    </w:p>
    <w:p w14:paraId="72177B59" w14:textId="77777777" w:rsidR="008A652C" w:rsidRPr="00BB6DDA" w:rsidRDefault="008A652C">
      <w:pPr>
        <w:pStyle w:val="Zkladntext"/>
        <w:spacing w:before="144"/>
        <w:rPr>
          <w:b/>
          <w:sz w:val="20"/>
          <w:lang w:val="en-GB"/>
        </w:rPr>
      </w:pPr>
    </w:p>
    <w:tbl>
      <w:tblPr>
        <w:tblStyle w:val="Mriekatabuky"/>
        <w:tblW w:w="65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4062"/>
      </w:tblGrid>
      <w:tr w:rsidR="0052232E" w:rsidRPr="00BB6DDA" w14:paraId="15EE7D02" w14:textId="77777777" w:rsidTr="0052232E">
        <w:trPr>
          <w:trHeight w:val="20"/>
          <w:jc w:val="right"/>
        </w:trPr>
        <w:tc>
          <w:tcPr>
            <w:tcW w:w="2499" w:type="dxa"/>
          </w:tcPr>
          <w:p w14:paraId="09A56415" w14:textId="44204986" w:rsidR="0052232E" w:rsidRPr="00BB6DDA" w:rsidRDefault="0052232E" w:rsidP="0052232E">
            <w:pPr>
              <w:pStyle w:val="TableParagraph"/>
              <w:spacing w:line="222" w:lineRule="exact"/>
              <w:ind w:left="50"/>
              <w:jc w:val="left"/>
              <w:rPr>
                <w:spacing w:val="-2"/>
                <w:lang w:val="en-GB"/>
              </w:rPr>
            </w:pPr>
            <w:r w:rsidRPr="00BB6DDA">
              <w:rPr>
                <w:spacing w:val="-2"/>
                <w:lang w:val="en-GB"/>
              </w:rPr>
              <w:t>Adres</w:t>
            </w:r>
            <w:r w:rsidR="0013235D" w:rsidRPr="00BB6DDA">
              <w:rPr>
                <w:spacing w:val="-2"/>
                <w:lang w:val="en-GB"/>
              </w:rPr>
              <w:t>s</w:t>
            </w:r>
            <w:r w:rsidRPr="00BB6DDA">
              <w:rPr>
                <w:spacing w:val="-2"/>
                <w:lang w:val="en-GB"/>
              </w:rPr>
              <w:t>:</w:t>
            </w:r>
          </w:p>
        </w:tc>
        <w:tc>
          <w:tcPr>
            <w:tcW w:w="4062" w:type="dxa"/>
          </w:tcPr>
          <w:p w14:paraId="28FD3BDE" w14:textId="77777777" w:rsidR="0052232E" w:rsidRPr="00BB6DDA" w:rsidRDefault="0052232E" w:rsidP="0052232E">
            <w:pPr>
              <w:pStyle w:val="TableParagraph"/>
              <w:spacing w:line="222" w:lineRule="exact"/>
              <w:ind w:left="50"/>
              <w:jc w:val="left"/>
              <w:rPr>
                <w:spacing w:val="-2"/>
                <w:lang w:val="en-GB"/>
              </w:rPr>
            </w:pPr>
            <w:r w:rsidRPr="00BB6DDA">
              <w:rPr>
                <w:spacing w:val="-2"/>
                <w:lang w:val="en-GB"/>
              </w:rPr>
              <w:t>Tr. A. Hlinku 2, 949 76 Nitra</w:t>
            </w:r>
          </w:p>
        </w:tc>
      </w:tr>
      <w:tr w:rsidR="0052232E" w:rsidRPr="00BB6DDA" w14:paraId="46D1BA82" w14:textId="77777777" w:rsidTr="0052232E">
        <w:trPr>
          <w:trHeight w:val="20"/>
          <w:jc w:val="right"/>
        </w:trPr>
        <w:tc>
          <w:tcPr>
            <w:tcW w:w="2499" w:type="dxa"/>
          </w:tcPr>
          <w:p w14:paraId="793E6288" w14:textId="5A6A7B45" w:rsidR="0052232E" w:rsidRPr="00BB6DDA" w:rsidRDefault="0013235D" w:rsidP="0052232E">
            <w:pPr>
              <w:pStyle w:val="TableParagraph"/>
              <w:spacing w:line="222" w:lineRule="exact"/>
              <w:ind w:left="50"/>
              <w:jc w:val="left"/>
              <w:rPr>
                <w:spacing w:val="-2"/>
                <w:lang w:val="en-GB"/>
              </w:rPr>
            </w:pPr>
            <w:r w:rsidRPr="00BB6DDA">
              <w:rPr>
                <w:spacing w:val="-2"/>
                <w:lang w:val="en-GB"/>
              </w:rPr>
              <w:t>Phone</w:t>
            </w:r>
            <w:r w:rsidR="0052232E" w:rsidRPr="00BB6DDA">
              <w:rPr>
                <w:spacing w:val="-2"/>
                <w:lang w:val="en-GB"/>
              </w:rPr>
              <w:t>:</w:t>
            </w:r>
          </w:p>
        </w:tc>
        <w:tc>
          <w:tcPr>
            <w:tcW w:w="4062" w:type="dxa"/>
          </w:tcPr>
          <w:p w14:paraId="6956ED12" w14:textId="77777777" w:rsidR="0052232E" w:rsidRPr="00BB6DDA" w:rsidRDefault="0052232E" w:rsidP="0052232E">
            <w:pPr>
              <w:pStyle w:val="TableParagraph"/>
              <w:spacing w:line="222" w:lineRule="exact"/>
              <w:ind w:left="50"/>
              <w:jc w:val="left"/>
              <w:rPr>
                <w:spacing w:val="-2"/>
                <w:lang w:val="en-GB"/>
              </w:rPr>
            </w:pPr>
            <w:r w:rsidRPr="00BB6DDA">
              <w:rPr>
                <w:spacing w:val="-2"/>
                <w:lang w:val="en-GB"/>
              </w:rPr>
              <w:t>037/641 5412, 037/641 5441</w:t>
            </w:r>
          </w:p>
        </w:tc>
      </w:tr>
      <w:tr w:rsidR="0052232E" w:rsidRPr="00BB6DDA" w14:paraId="7E7C97BF" w14:textId="77777777" w:rsidTr="0052232E">
        <w:trPr>
          <w:trHeight w:val="20"/>
          <w:jc w:val="right"/>
        </w:trPr>
        <w:tc>
          <w:tcPr>
            <w:tcW w:w="2499" w:type="dxa"/>
          </w:tcPr>
          <w:p w14:paraId="76ECE770" w14:textId="77777777" w:rsidR="0052232E" w:rsidRPr="00BB6DDA" w:rsidRDefault="0052232E" w:rsidP="0052232E">
            <w:pPr>
              <w:pStyle w:val="TableParagraph"/>
              <w:spacing w:line="222" w:lineRule="exact"/>
              <w:ind w:left="50"/>
              <w:jc w:val="left"/>
              <w:rPr>
                <w:spacing w:val="-2"/>
                <w:lang w:val="en-GB"/>
              </w:rPr>
            </w:pPr>
            <w:r w:rsidRPr="00BB6DDA">
              <w:rPr>
                <w:spacing w:val="-2"/>
                <w:lang w:val="en-GB"/>
              </w:rPr>
              <w:t>E-mail:</w:t>
            </w:r>
          </w:p>
        </w:tc>
        <w:tc>
          <w:tcPr>
            <w:tcW w:w="4062" w:type="dxa"/>
          </w:tcPr>
          <w:p w14:paraId="7977A833" w14:textId="479BA7FC" w:rsidR="0052232E" w:rsidRPr="00BB6DDA" w:rsidRDefault="0052232E" w:rsidP="0052232E">
            <w:pPr>
              <w:pStyle w:val="TableParagraph"/>
              <w:spacing w:line="222" w:lineRule="exact"/>
              <w:ind w:left="50"/>
              <w:jc w:val="left"/>
              <w:rPr>
                <w:spacing w:val="-2"/>
                <w:lang w:val="en-GB"/>
              </w:rPr>
            </w:pPr>
            <w:hyperlink r:id="rId11" w:history="1">
              <w:r w:rsidRPr="00BB6DDA">
                <w:rPr>
                  <w:rStyle w:val="Hypertextovprepojenie"/>
                  <w:spacing w:val="-2"/>
                  <w:lang w:val="en-GB"/>
                </w:rPr>
                <w:t>dekfzki@uniag.sk</w:t>
              </w:r>
            </w:hyperlink>
          </w:p>
        </w:tc>
      </w:tr>
      <w:tr w:rsidR="0052232E" w:rsidRPr="00BB6DDA" w14:paraId="3C23BB24" w14:textId="77777777" w:rsidTr="0052232E">
        <w:trPr>
          <w:trHeight w:val="20"/>
          <w:jc w:val="right"/>
        </w:trPr>
        <w:tc>
          <w:tcPr>
            <w:tcW w:w="2499" w:type="dxa"/>
          </w:tcPr>
          <w:p w14:paraId="0CD677E5" w14:textId="010A1200" w:rsidR="0052232E" w:rsidRPr="00BB6DDA" w:rsidRDefault="0052232E" w:rsidP="0052232E">
            <w:pPr>
              <w:pStyle w:val="TableParagraph"/>
              <w:spacing w:line="222" w:lineRule="exact"/>
              <w:ind w:left="50"/>
              <w:jc w:val="left"/>
              <w:rPr>
                <w:spacing w:val="-2"/>
                <w:lang w:val="en-GB"/>
              </w:rPr>
            </w:pPr>
            <w:r w:rsidRPr="00BB6DDA">
              <w:rPr>
                <w:spacing w:val="-2"/>
                <w:lang w:val="en-GB"/>
              </w:rPr>
              <w:t>W</w:t>
            </w:r>
            <w:r w:rsidR="0013235D" w:rsidRPr="00BB6DDA">
              <w:rPr>
                <w:spacing w:val="-2"/>
                <w:lang w:val="en-GB"/>
              </w:rPr>
              <w:t>eb page</w:t>
            </w:r>
            <w:r w:rsidRPr="00BB6DDA">
              <w:rPr>
                <w:spacing w:val="-2"/>
                <w:lang w:val="en-GB"/>
              </w:rPr>
              <w:t>:</w:t>
            </w:r>
          </w:p>
        </w:tc>
        <w:tc>
          <w:tcPr>
            <w:tcW w:w="4062" w:type="dxa"/>
          </w:tcPr>
          <w:p w14:paraId="1AC24943" w14:textId="08223EB9" w:rsidR="0052232E" w:rsidRPr="00BB6DDA" w:rsidRDefault="0052232E" w:rsidP="0052232E">
            <w:pPr>
              <w:pStyle w:val="TableParagraph"/>
              <w:spacing w:line="222" w:lineRule="exact"/>
              <w:ind w:left="50"/>
              <w:jc w:val="left"/>
              <w:rPr>
                <w:spacing w:val="-2"/>
                <w:u w:val="single"/>
                <w:lang w:val="en-GB"/>
              </w:rPr>
            </w:pPr>
            <w:hyperlink r:id="rId12" w:history="1">
              <w:r w:rsidRPr="00BB6DDA">
                <w:rPr>
                  <w:rStyle w:val="Hypertextovprepojenie"/>
                  <w:spacing w:val="-2"/>
                  <w:lang w:val="en-GB"/>
                </w:rPr>
                <w:t>www.fzki.uniag.sk</w:t>
              </w:r>
            </w:hyperlink>
          </w:p>
          <w:p w14:paraId="2A81443E" w14:textId="2410BBA3" w:rsidR="0052232E" w:rsidRPr="00BB6DDA" w:rsidRDefault="0052232E" w:rsidP="0052232E">
            <w:pPr>
              <w:pStyle w:val="TableParagraph"/>
              <w:spacing w:line="222" w:lineRule="exact"/>
              <w:ind w:left="50"/>
              <w:jc w:val="left"/>
              <w:rPr>
                <w:spacing w:val="-2"/>
                <w:lang w:val="en-GB"/>
              </w:rPr>
            </w:pPr>
            <w:hyperlink r:id="rId13" w:history="1">
              <w:r w:rsidRPr="00BB6DDA">
                <w:rPr>
                  <w:rStyle w:val="Hypertextovprepojenie"/>
                  <w:spacing w:val="-2"/>
                  <w:lang w:val="en-GB"/>
                </w:rPr>
                <w:t>www.podnazelenu.sk/fakulty-fzki/</w:t>
              </w:r>
            </w:hyperlink>
            <w:r w:rsidRPr="00BB6DDA">
              <w:rPr>
                <w:spacing w:val="-2"/>
                <w:lang w:val="en-GB"/>
              </w:rPr>
              <w:t xml:space="preserve">  </w:t>
            </w:r>
          </w:p>
        </w:tc>
      </w:tr>
    </w:tbl>
    <w:p w14:paraId="2BCD8C03" w14:textId="77777777" w:rsidR="0052232E" w:rsidRPr="00BB6DDA" w:rsidRDefault="0052232E" w:rsidP="0052232E">
      <w:pPr>
        <w:pStyle w:val="Nadpis1"/>
        <w:spacing w:before="0"/>
        <w:ind w:left="130" w:right="136"/>
        <w:rPr>
          <w:lang w:val="en-GB"/>
        </w:rPr>
      </w:pPr>
      <w:bookmarkStart w:id="0" w:name="Podmienky_a_pravidlá_prijímacieho_konani"/>
      <w:bookmarkEnd w:id="0"/>
    </w:p>
    <w:p w14:paraId="0DF6B5B9" w14:textId="787F0207" w:rsidR="008A652C" w:rsidRPr="00BB6DDA" w:rsidRDefault="0013235D" w:rsidP="0013235D">
      <w:pPr>
        <w:pStyle w:val="Nadpis1"/>
        <w:spacing w:before="0"/>
        <w:ind w:left="130" w:right="136"/>
        <w:rPr>
          <w:lang w:val="en-GB"/>
        </w:rPr>
      </w:pPr>
      <w:r w:rsidRPr="00BB6DDA">
        <w:rPr>
          <w:lang w:val="en-GB"/>
        </w:rPr>
        <w:t>Terms and Rules of the Admission Procedure for the Second Level of Higher Education in the study programme International Master of Horticulture Science – taught in English, Faculty of Horticulture and Landscape Engineering, Slovak University of Agriculture in Nitra,</w:t>
      </w:r>
      <w:r w:rsidRPr="00BB6DDA">
        <w:rPr>
          <w:lang w:val="en-GB"/>
        </w:rPr>
        <w:br/>
        <w:t>for the academic year 2026/2027</w:t>
      </w:r>
    </w:p>
    <w:p w14:paraId="0D7BA236" w14:textId="77777777" w:rsidR="00DD17A5" w:rsidRPr="00BB6DDA" w:rsidRDefault="00DD17A5">
      <w:pPr>
        <w:pStyle w:val="Zkladntext"/>
        <w:spacing w:before="113"/>
        <w:rPr>
          <w:b/>
          <w:sz w:val="28"/>
          <w:lang w:val="en-GB"/>
        </w:rPr>
      </w:pPr>
    </w:p>
    <w:p w14:paraId="4B5E20BF" w14:textId="7FAEF243" w:rsidR="00DD17A5" w:rsidRPr="00BB6DDA" w:rsidRDefault="0013235D" w:rsidP="0013235D">
      <w:pPr>
        <w:pStyle w:val="Nadpis2"/>
        <w:ind w:left="0"/>
        <w:rPr>
          <w:lang w:val="en-GB"/>
        </w:rPr>
      </w:pPr>
      <w:bookmarkStart w:id="1" w:name="ZÁKLADNÉ_PODMIENKY_PRIJATIA_NA_ŠTÚDIUM"/>
      <w:bookmarkEnd w:id="1"/>
      <w:r w:rsidRPr="00BB6DDA">
        <w:rPr>
          <w:lang w:val="en-GB"/>
        </w:rPr>
        <w:t xml:space="preserve">Study programme taught in English. More information: </w:t>
      </w:r>
      <w:hyperlink r:id="rId14" w:tgtFrame="_new" w:history="1">
        <w:r w:rsidRPr="00BB6DDA">
          <w:rPr>
            <w:rStyle w:val="Hypertextovprepojenie"/>
            <w:lang w:val="en-GB"/>
          </w:rPr>
          <w:t>https://www.fzki.uniag.sk/sk/inzinierske-studijne-programy-v-anglickom-jazyku</w:t>
        </w:r>
      </w:hyperlink>
    </w:p>
    <w:p w14:paraId="193DD2CA" w14:textId="77777777" w:rsidR="0013235D" w:rsidRPr="00BB6DDA" w:rsidRDefault="0013235D" w:rsidP="0013235D">
      <w:pPr>
        <w:pStyle w:val="Nadpis2"/>
        <w:ind w:left="0"/>
        <w:rPr>
          <w:lang w:val="en-GB"/>
        </w:rPr>
      </w:pPr>
    </w:p>
    <w:p w14:paraId="21134324" w14:textId="7C1C5DA5" w:rsidR="008A652C" w:rsidRPr="00BB6DDA" w:rsidRDefault="0013235D" w:rsidP="0013235D">
      <w:pPr>
        <w:pStyle w:val="Nadpis2"/>
        <w:ind w:left="0"/>
        <w:rPr>
          <w:lang w:val="en-GB"/>
        </w:rPr>
      </w:pPr>
      <w:r w:rsidRPr="00BB6DDA">
        <w:rPr>
          <w:spacing w:val="-2"/>
          <w:lang w:val="en-GB"/>
        </w:rPr>
        <w:t>BASIC ADMISSION REQUIREMENTS</w:t>
      </w:r>
    </w:p>
    <w:p w14:paraId="02D53FAE" w14:textId="606F1F60" w:rsidR="0013235D" w:rsidRPr="0013235D" w:rsidRDefault="0013235D" w:rsidP="0013235D">
      <w:pPr>
        <w:pStyle w:val="Normlnywebov"/>
        <w:shd w:val="clear" w:color="auto" w:fill="FFFFFF"/>
        <w:spacing w:before="0" w:beforeAutospacing="0" w:after="0" w:afterAutospacing="0" w:line="276" w:lineRule="auto"/>
        <w:jc w:val="both"/>
        <w:rPr>
          <w:rFonts w:ascii="Roboto" w:hAnsi="Roboto" w:cstheme="minorHAnsi"/>
          <w:sz w:val="20"/>
          <w:szCs w:val="20"/>
          <w:lang w:val="en-GB"/>
        </w:rPr>
      </w:pPr>
      <w:bookmarkStart w:id="2" w:name="ĎALŠIE_PODMIENKY_PRIJATIA_NA_ŠTÚDIUM"/>
      <w:bookmarkEnd w:id="2"/>
      <w:r w:rsidRPr="00BB6DDA">
        <w:rPr>
          <w:rFonts w:ascii="Roboto" w:hAnsi="Roboto" w:cstheme="minorHAnsi"/>
          <w:sz w:val="20"/>
          <w:szCs w:val="20"/>
          <w:lang w:val="en-GB"/>
        </w:rPr>
        <w:t xml:space="preserve">The basic requirement for admission to the Master’s (second-cycle) study programme is the completion of a first-cycle (Bachelor’s) study programme in the same or a related field of study, successfully completed by a state (final) examination. </w:t>
      </w:r>
      <w:r w:rsidRPr="0013235D">
        <w:rPr>
          <w:rFonts w:ascii="Roboto" w:hAnsi="Roboto" w:cstheme="minorHAnsi"/>
          <w:sz w:val="20"/>
          <w:szCs w:val="20"/>
          <w:lang w:val="en-GB"/>
        </w:rPr>
        <w:t>An applicant who does not prove fulfilment of the basic admission requirement at the time of verification of admission requirements may be admitted conditionally. In such a case, the applicant is obliged to prove fulfilment of the basic admission requirements no later than on the date specified for enrolment in the study programme.</w:t>
      </w:r>
    </w:p>
    <w:p w14:paraId="50AA0BED" w14:textId="1B35A295" w:rsidR="008A652C" w:rsidRPr="00BB6DDA" w:rsidRDefault="00D771E0" w:rsidP="0013235D">
      <w:pPr>
        <w:pStyle w:val="Nadpis2"/>
        <w:spacing w:before="267"/>
        <w:ind w:left="0"/>
        <w:rPr>
          <w:spacing w:val="-2"/>
          <w:lang w:val="en-GB"/>
        </w:rPr>
      </w:pPr>
      <w:r>
        <w:rPr>
          <w:spacing w:val="-2"/>
          <w:lang w:val="en-GB"/>
        </w:rPr>
        <w:t>STUDY</w:t>
      </w:r>
      <w:r w:rsidR="0013235D" w:rsidRPr="00BB6DDA">
        <w:rPr>
          <w:b w:val="0"/>
          <w:bCs w:val="0"/>
          <w:lang w:val="en-GB"/>
        </w:rPr>
        <w:t xml:space="preserve"> </w:t>
      </w:r>
      <w:r w:rsidR="0013235D" w:rsidRPr="00BB6DDA">
        <w:rPr>
          <w:spacing w:val="-2"/>
          <w:lang w:val="en-GB"/>
        </w:rPr>
        <w:t>ADDITIONAL ADMISSION REQUIREMENTS</w:t>
      </w:r>
    </w:p>
    <w:p w14:paraId="67246AE6" w14:textId="77777777" w:rsidR="0013235D" w:rsidRPr="0013235D" w:rsidRDefault="0013235D" w:rsidP="0013235D">
      <w:pPr>
        <w:tabs>
          <w:tab w:val="left" w:pos="1591"/>
        </w:tabs>
        <w:ind w:right="244"/>
        <w:jc w:val="both"/>
        <w:rPr>
          <w:rFonts w:ascii="Roboto" w:eastAsia="Times New Roman" w:hAnsi="Roboto" w:cs="Times New Roman"/>
          <w:color w:val="000000"/>
          <w:sz w:val="20"/>
          <w:szCs w:val="20"/>
          <w:lang w:val="en-GB" w:eastAsia="sk-SK"/>
        </w:rPr>
      </w:pPr>
      <w:r w:rsidRPr="0013235D">
        <w:rPr>
          <w:rFonts w:ascii="Roboto" w:eastAsia="Times New Roman" w:hAnsi="Roboto" w:cs="Times New Roman"/>
          <w:color w:val="000000"/>
          <w:sz w:val="20"/>
          <w:szCs w:val="20"/>
          <w:lang w:val="en-GB" w:eastAsia="sk-SK"/>
        </w:rPr>
        <w:t xml:space="preserve">The ranking of applicants will be based on the results achieved in previous first-cycle studies, including the state (final) examination. The evaluation criterion will be the weighted grade average of completed courses over the entire previous first-cycle study and according to additional requirements of the specific study programme. The minimum number of points required for admission is </w:t>
      </w:r>
      <w:r w:rsidRPr="0013235D">
        <w:rPr>
          <w:rFonts w:ascii="Roboto" w:eastAsia="Times New Roman" w:hAnsi="Roboto" w:cs="Times New Roman"/>
          <w:b/>
          <w:bCs/>
          <w:color w:val="000000"/>
          <w:sz w:val="20"/>
          <w:szCs w:val="20"/>
          <w:lang w:val="en-GB" w:eastAsia="sk-SK"/>
        </w:rPr>
        <w:t>5 points</w:t>
      </w:r>
      <w:r w:rsidRPr="0013235D">
        <w:rPr>
          <w:rFonts w:ascii="Roboto" w:eastAsia="Times New Roman" w:hAnsi="Roboto" w:cs="Times New Roman"/>
          <w:color w:val="000000"/>
          <w:sz w:val="20"/>
          <w:szCs w:val="20"/>
          <w:lang w:val="en-GB" w:eastAsia="sk-SK"/>
        </w:rPr>
        <w:t xml:space="preserve">, as follows: the applicant obtains </w:t>
      </w:r>
      <w:r w:rsidRPr="0013235D">
        <w:rPr>
          <w:rFonts w:ascii="Roboto" w:eastAsia="Times New Roman" w:hAnsi="Roboto" w:cs="Times New Roman"/>
          <w:b/>
          <w:bCs/>
          <w:color w:val="000000"/>
          <w:sz w:val="20"/>
          <w:szCs w:val="20"/>
          <w:lang w:val="en-GB" w:eastAsia="sk-SK"/>
        </w:rPr>
        <w:t>5 points</w:t>
      </w:r>
      <w:r w:rsidRPr="0013235D">
        <w:rPr>
          <w:rFonts w:ascii="Roboto" w:eastAsia="Times New Roman" w:hAnsi="Roboto" w:cs="Times New Roman"/>
          <w:color w:val="000000"/>
          <w:sz w:val="20"/>
          <w:szCs w:val="20"/>
          <w:lang w:val="en-GB" w:eastAsia="sk-SK"/>
        </w:rPr>
        <w:t xml:space="preserve"> if the overall weighted grade average of completed courses over the entire first-cycle study is less than or equal to </w:t>
      </w:r>
      <w:r w:rsidRPr="0013235D">
        <w:rPr>
          <w:rFonts w:ascii="Roboto" w:eastAsia="Times New Roman" w:hAnsi="Roboto" w:cs="Times New Roman"/>
          <w:b/>
          <w:bCs/>
          <w:color w:val="000000"/>
          <w:sz w:val="20"/>
          <w:szCs w:val="20"/>
          <w:lang w:val="en-GB" w:eastAsia="sk-SK"/>
        </w:rPr>
        <w:t>2.5</w:t>
      </w:r>
      <w:r w:rsidRPr="0013235D">
        <w:rPr>
          <w:rFonts w:ascii="Roboto" w:eastAsia="Times New Roman" w:hAnsi="Roboto" w:cs="Times New Roman"/>
          <w:color w:val="000000"/>
          <w:sz w:val="20"/>
          <w:szCs w:val="20"/>
          <w:lang w:val="en-GB" w:eastAsia="sk-SK"/>
        </w:rPr>
        <w:t xml:space="preserve">, and the applicant obtains </w:t>
      </w:r>
      <w:r w:rsidRPr="0013235D">
        <w:rPr>
          <w:rFonts w:ascii="Roboto" w:eastAsia="Times New Roman" w:hAnsi="Roboto" w:cs="Times New Roman"/>
          <w:b/>
          <w:bCs/>
          <w:color w:val="000000"/>
          <w:sz w:val="20"/>
          <w:szCs w:val="20"/>
          <w:lang w:val="en-GB" w:eastAsia="sk-SK"/>
        </w:rPr>
        <w:t>5 points</w:t>
      </w:r>
      <w:r w:rsidRPr="0013235D">
        <w:rPr>
          <w:rFonts w:ascii="Roboto" w:eastAsia="Times New Roman" w:hAnsi="Roboto" w:cs="Times New Roman"/>
          <w:color w:val="000000"/>
          <w:sz w:val="20"/>
          <w:szCs w:val="20"/>
          <w:lang w:val="en-GB" w:eastAsia="sk-SK"/>
        </w:rPr>
        <w:t xml:space="preserve"> if the result of the state (final) examination is less than or equal to </w:t>
      </w:r>
      <w:r w:rsidRPr="0013235D">
        <w:rPr>
          <w:rFonts w:ascii="Roboto" w:eastAsia="Times New Roman" w:hAnsi="Roboto" w:cs="Times New Roman"/>
          <w:b/>
          <w:bCs/>
          <w:color w:val="000000"/>
          <w:sz w:val="20"/>
          <w:szCs w:val="20"/>
          <w:lang w:val="en-GB" w:eastAsia="sk-SK"/>
        </w:rPr>
        <w:t>2.5</w:t>
      </w:r>
      <w:r w:rsidRPr="0013235D">
        <w:rPr>
          <w:rFonts w:ascii="Roboto" w:eastAsia="Times New Roman" w:hAnsi="Roboto" w:cs="Times New Roman"/>
          <w:color w:val="000000"/>
          <w:sz w:val="20"/>
          <w:szCs w:val="20"/>
          <w:lang w:val="en-GB" w:eastAsia="sk-SK"/>
        </w:rPr>
        <w:t>. If the applicant completed a first-cycle study programme in a related field at another faculty or higher education institution, they are required to submit the results of their Bachelor’s studies as stated above, namely the overall weighted grade average of completed courses over the entire first-cycle study and the result of the state (final) examination. After admission to the Master’s study programme, the study plan will be specified in order to complete courses within the study plan to the extent determined by the Dean.</w:t>
      </w:r>
    </w:p>
    <w:p w14:paraId="7B25E440" w14:textId="77777777" w:rsidR="0013235D" w:rsidRPr="0013235D" w:rsidRDefault="0013235D" w:rsidP="0013235D">
      <w:pPr>
        <w:tabs>
          <w:tab w:val="left" w:pos="1591"/>
        </w:tabs>
        <w:ind w:right="244"/>
        <w:jc w:val="both"/>
        <w:rPr>
          <w:rFonts w:ascii="Roboto" w:eastAsia="Times New Roman" w:hAnsi="Roboto" w:cs="Times New Roman"/>
          <w:color w:val="000000"/>
          <w:sz w:val="20"/>
          <w:szCs w:val="20"/>
          <w:lang w:val="en-GB" w:eastAsia="sk-SK"/>
        </w:rPr>
      </w:pPr>
      <w:r w:rsidRPr="0013235D">
        <w:rPr>
          <w:rFonts w:ascii="Roboto" w:eastAsia="Times New Roman" w:hAnsi="Roboto" w:cs="Times New Roman"/>
          <w:color w:val="000000"/>
          <w:sz w:val="20"/>
          <w:szCs w:val="20"/>
          <w:lang w:val="en-GB" w:eastAsia="sk-SK"/>
        </w:rPr>
        <w:t xml:space="preserve">Applicants will undergo an admission interview conducted in English, which will take place on a date announced in advance. The applicant will be informed of the interview date after the application has been registered, after </w:t>
      </w:r>
      <w:r w:rsidRPr="0013235D">
        <w:rPr>
          <w:rFonts w:ascii="Roboto" w:eastAsia="Times New Roman" w:hAnsi="Roboto" w:cs="Times New Roman"/>
          <w:b/>
          <w:bCs/>
          <w:color w:val="000000"/>
          <w:sz w:val="20"/>
          <w:szCs w:val="20"/>
          <w:lang w:val="en-GB" w:eastAsia="sk-SK"/>
        </w:rPr>
        <w:t>15 July 2026</w:t>
      </w:r>
      <w:r w:rsidRPr="0013235D">
        <w:rPr>
          <w:rFonts w:ascii="Roboto" w:eastAsia="Times New Roman" w:hAnsi="Roboto" w:cs="Times New Roman"/>
          <w:color w:val="000000"/>
          <w:sz w:val="20"/>
          <w:szCs w:val="20"/>
          <w:lang w:val="en-GB" w:eastAsia="sk-SK"/>
        </w:rPr>
        <w:t>. The interview will not be knowledge-based; its purpose is to demonstrate the applicant’s aptitude for studying the selected study programme.</w:t>
      </w:r>
    </w:p>
    <w:p w14:paraId="2E0A2201" w14:textId="31065DD3" w:rsidR="006268C3" w:rsidRPr="00BB6DDA" w:rsidRDefault="006268C3" w:rsidP="006268C3">
      <w:pPr>
        <w:tabs>
          <w:tab w:val="left" w:pos="1591"/>
        </w:tabs>
        <w:ind w:right="244"/>
        <w:rPr>
          <w:lang w:val="en-GB"/>
        </w:rPr>
      </w:pPr>
      <w:r w:rsidRPr="00BB6DDA">
        <w:rPr>
          <w:lang w:val="en-GB"/>
        </w:rPr>
        <w:t> </w:t>
      </w:r>
      <w:bookmarkStart w:id="3" w:name="VŠEOBECNÉ_ÚDAJE_O_PRIJÍMACOM_KONANÍ"/>
      <w:bookmarkEnd w:id="3"/>
    </w:p>
    <w:p w14:paraId="59D7DA13" w14:textId="411CD929" w:rsidR="008A652C" w:rsidRPr="00BB6DDA" w:rsidRDefault="0013235D" w:rsidP="0013235D">
      <w:pPr>
        <w:pStyle w:val="Nadpis2"/>
        <w:ind w:left="0"/>
        <w:rPr>
          <w:lang w:val="en-GB"/>
        </w:rPr>
      </w:pPr>
      <w:r w:rsidRPr="00BB6DDA">
        <w:rPr>
          <w:spacing w:val="-2"/>
          <w:lang w:val="en-GB"/>
        </w:rPr>
        <w:t>GENERAL INFORMATION ON THE ADMISSION PROCEDURE</w:t>
      </w:r>
    </w:p>
    <w:p w14:paraId="5A2DD958" w14:textId="3F161A55"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lang w:val="en-GB"/>
        </w:rPr>
        <w:t xml:space="preserve">An applicant for study may apply for </w:t>
      </w:r>
      <w:r w:rsidRPr="00656E15">
        <w:rPr>
          <w:rFonts w:asciiTheme="minorHAnsi" w:hAnsiTheme="minorHAnsi" w:cstheme="minorHAnsi"/>
          <w:b/>
          <w:bCs/>
          <w:lang w:val="en-GB"/>
        </w:rPr>
        <w:t>multiple</w:t>
      </w:r>
      <w:r w:rsidRPr="00656E15">
        <w:rPr>
          <w:rFonts w:asciiTheme="minorHAnsi" w:hAnsiTheme="minorHAnsi" w:cstheme="minorHAnsi"/>
          <w:lang w:val="en-GB"/>
        </w:rPr>
        <w:t xml:space="preserve"> study programmes offered by the Faculty </w:t>
      </w:r>
      <w:r w:rsidRPr="00656E15">
        <w:rPr>
          <w:rFonts w:asciiTheme="minorHAnsi" w:hAnsiTheme="minorHAnsi" w:cstheme="minorHAnsi"/>
          <w:lang w:val="en-GB"/>
        </w:rPr>
        <w:lastRenderedPageBreak/>
        <w:t>of Horticulture and Landscape Engineering within one application (under a single admission fee).</w:t>
      </w:r>
    </w:p>
    <w:p w14:paraId="2BF7E2C8" w14:textId="1050D624"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lang w:val="en-GB"/>
        </w:rPr>
        <w:t>An applicant who completed their bachelor’s degree outside the Slovak University of Agriculture in Nitra must include in the application a scan of the proof of completion of studies together with the diploma supplement, which applicants upload electronically via the University Information System (UIS).</w:t>
      </w:r>
    </w:p>
    <w:p w14:paraId="5FC3D604" w14:textId="300E6C1D"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b/>
          <w:bCs/>
          <w:lang w:val="en-GB"/>
        </w:rPr>
        <w:t>A certified copy of the proof of completion of studies</w:t>
      </w:r>
      <w:r w:rsidRPr="00656E15">
        <w:rPr>
          <w:rFonts w:asciiTheme="minorHAnsi" w:hAnsiTheme="minorHAnsi" w:cstheme="minorHAnsi"/>
          <w:lang w:val="en-GB"/>
        </w:rPr>
        <w:t xml:space="preserve"> (notary, registry office) together with the diploma supplement must be submitted by applicants at enrolment; otherwise, they will not be enrolled in the study programme.</w:t>
      </w:r>
    </w:p>
    <w:p w14:paraId="76F63C9A" w14:textId="4349D36B"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b/>
          <w:bCs/>
          <w:lang w:val="en-GB"/>
        </w:rPr>
        <w:t>Incomplete applications</w:t>
      </w:r>
      <w:r w:rsidRPr="00656E15">
        <w:rPr>
          <w:rFonts w:asciiTheme="minorHAnsi" w:hAnsiTheme="minorHAnsi" w:cstheme="minorHAnsi"/>
          <w:lang w:val="en-GB"/>
        </w:rPr>
        <w:t xml:space="preserve"> (e.g. without proof of payment of the fee) will not be accepted.</w:t>
      </w:r>
    </w:p>
    <w:p w14:paraId="5F7FE863" w14:textId="58C31C3D"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lang w:val="en-GB"/>
        </w:rPr>
        <w:t>After the admission procedure, the applicant will receive a decision on the result of the admission procedure within 30 days from the verification of fulfilment of the admission requirements. An applicant who does not meet the conditions at the time of the meeting of the admissions committee may be conditionally admitted.</w:t>
      </w:r>
    </w:p>
    <w:p w14:paraId="49031553" w14:textId="7F868407"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lang w:val="en-GB"/>
        </w:rPr>
        <w:t>An applicant who is admitted to one of the study programmes is obliged to inform the faculty whether they will enrol in the study programme according to the instructions received in written form together with the admission decision (the e-return form is part of the decision).</w:t>
      </w:r>
    </w:p>
    <w:p w14:paraId="1655F88E" w14:textId="15556B9A"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lang w:val="en-GB"/>
        </w:rPr>
        <w:t>The applicant’s personal data (name, surname, personal identification number, address, etc.) will be used in accordance with Act No. 18/2018 Coll. on Personal Data Protection solely for the purposes of the admission procedure and may not be provided for other purposes.</w:t>
      </w:r>
    </w:p>
    <w:p w14:paraId="7B2D2C89" w14:textId="5B7374C6"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lang w:val="en-GB"/>
        </w:rPr>
        <w:t>The Dean may accept the results of the admission procedure from other faculties of the Slovak University of Agriculture in Nitra or from other higher education institutions.</w:t>
      </w:r>
    </w:p>
    <w:p w14:paraId="0F127284" w14:textId="234D48CE"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lang w:val="en-GB"/>
        </w:rPr>
        <w:t>The Dean may offer applicants who were not ranked for the study programme they applied for the possibility of admission to an alternative programme with a lower number of applicants.</w:t>
      </w:r>
    </w:p>
    <w:p w14:paraId="51BFF769" w14:textId="46F5A697" w:rsidR="00656E15" w:rsidRPr="00656E15" w:rsidRDefault="00656E15" w:rsidP="00656E15">
      <w:pPr>
        <w:pStyle w:val="Odsekzoznamu"/>
        <w:numPr>
          <w:ilvl w:val="0"/>
          <w:numId w:val="7"/>
        </w:numPr>
        <w:tabs>
          <w:tab w:val="left" w:pos="854"/>
        </w:tabs>
        <w:spacing w:before="119"/>
        <w:ind w:right="252"/>
        <w:rPr>
          <w:rFonts w:asciiTheme="minorHAnsi" w:hAnsiTheme="minorHAnsi" w:cstheme="minorHAnsi"/>
          <w:lang w:val="en-GB"/>
        </w:rPr>
      </w:pPr>
      <w:r w:rsidRPr="00656E15">
        <w:rPr>
          <w:rFonts w:asciiTheme="minorHAnsi" w:hAnsiTheme="minorHAnsi" w:cstheme="minorHAnsi"/>
          <w:lang w:val="en-GB"/>
        </w:rPr>
        <w:t>The faculty reserves the right not to open a study programme for which a low number of applicants apply. In such a case, the faculty will offer the applicant another accredited study programme.</w:t>
      </w:r>
    </w:p>
    <w:p w14:paraId="14CACFF1" w14:textId="77777777" w:rsidR="001A4F14" w:rsidRDefault="001A4F14" w:rsidP="001A4F14">
      <w:pPr>
        <w:pStyle w:val="Odsekzoznamu"/>
        <w:tabs>
          <w:tab w:val="left" w:pos="854"/>
        </w:tabs>
        <w:spacing w:before="119"/>
        <w:ind w:right="252" w:firstLine="0"/>
      </w:pPr>
    </w:p>
    <w:p w14:paraId="692C498E" w14:textId="77777777" w:rsidR="00656E15" w:rsidRPr="00656E15" w:rsidRDefault="00656E15" w:rsidP="00656E15">
      <w:pPr>
        <w:pStyle w:val="Nadpis2"/>
        <w:ind w:left="0"/>
        <w:jc w:val="both"/>
        <w:rPr>
          <w:b w:val="0"/>
          <w:bCs w:val="0"/>
          <w:lang w:val="en-GB"/>
        </w:rPr>
      </w:pPr>
      <w:bookmarkStart w:id="4" w:name="INFORMÁCIE_PRE_ZAHRANIČNÝCH_UCHÁDZAČOV"/>
      <w:bookmarkEnd w:id="4"/>
      <w:r w:rsidRPr="00656E15">
        <w:rPr>
          <w:rFonts w:ascii="Roboto" w:hAnsi="Roboto" w:cstheme="minorHAnsi"/>
          <w:sz w:val="20"/>
          <w:szCs w:val="20"/>
        </w:rPr>
        <w:t>INFORMATION FOR FOREIGN APPLICANTS OR APPLICANTS WHO COMPLETED THE FIRST LEVEL OF STUDY ABROAD</w:t>
      </w:r>
    </w:p>
    <w:p w14:paraId="5A146E30" w14:textId="701177C2" w:rsidR="0013235D" w:rsidRPr="00BB6DDA" w:rsidRDefault="0013235D" w:rsidP="00656E15">
      <w:pPr>
        <w:pStyle w:val="Nadpis2"/>
        <w:numPr>
          <w:ilvl w:val="0"/>
          <w:numId w:val="6"/>
        </w:numPr>
        <w:ind w:left="0" w:firstLine="0"/>
        <w:jc w:val="both"/>
        <w:rPr>
          <w:b w:val="0"/>
          <w:bCs w:val="0"/>
          <w:lang w:val="en-GB"/>
        </w:rPr>
      </w:pPr>
      <w:r w:rsidRPr="00BB6DDA">
        <w:rPr>
          <w:b w:val="0"/>
          <w:bCs w:val="0"/>
          <w:lang w:val="en-GB"/>
        </w:rPr>
        <w:t xml:space="preserve">an applicant may apply for </w:t>
      </w:r>
      <w:r w:rsidRPr="00BB6DDA">
        <w:rPr>
          <w:lang w:val="en-GB"/>
        </w:rPr>
        <w:t>several study programmes</w:t>
      </w:r>
      <w:r w:rsidRPr="00BB6DDA">
        <w:rPr>
          <w:b w:val="0"/>
          <w:bCs w:val="0"/>
          <w:lang w:val="en-GB"/>
        </w:rPr>
        <w:t xml:space="preserve"> delivered by the Faculty of Horticulture and Landscape Engineering in one application (within one admission fee), </w:t>
      </w:r>
    </w:p>
    <w:p w14:paraId="1ED0AF70" w14:textId="77777777" w:rsidR="0013235D" w:rsidRDefault="0013235D" w:rsidP="00BB6DDA">
      <w:pPr>
        <w:pStyle w:val="Nadpis2"/>
        <w:numPr>
          <w:ilvl w:val="0"/>
          <w:numId w:val="6"/>
        </w:numPr>
        <w:ind w:left="0" w:firstLine="0"/>
        <w:jc w:val="both"/>
        <w:rPr>
          <w:b w:val="0"/>
          <w:bCs w:val="0"/>
          <w:lang w:val="en-GB"/>
        </w:rPr>
      </w:pPr>
      <w:r w:rsidRPr="00BB6DDA">
        <w:rPr>
          <w:b w:val="0"/>
          <w:bCs w:val="0"/>
          <w:lang w:val="en-GB"/>
        </w:rPr>
        <w:t xml:space="preserve">an applicant who completed Bachelor’s studies outside the Slovak University of Agriculture in Nitra is required to upload a scan of the certificate of completion of studies together with the Diploma Supplement electronically via the University Information System (UIS), </w:t>
      </w:r>
    </w:p>
    <w:p w14:paraId="3F3D6F8C" w14:textId="77777777" w:rsidR="00BB6DDA" w:rsidRPr="00BB6DDA" w:rsidRDefault="00BB6DDA" w:rsidP="00BB6DDA">
      <w:pPr>
        <w:pStyle w:val="Nadpis2"/>
        <w:ind w:left="360"/>
        <w:jc w:val="both"/>
        <w:rPr>
          <w:b w:val="0"/>
          <w:bCs w:val="0"/>
          <w:lang w:val="en-GB"/>
        </w:rPr>
      </w:pPr>
    </w:p>
    <w:p w14:paraId="535116B6" w14:textId="77777777" w:rsidR="0013235D" w:rsidRDefault="0013235D" w:rsidP="00BB6DDA">
      <w:pPr>
        <w:pStyle w:val="Nadpis2"/>
        <w:numPr>
          <w:ilvl w:val="0"/>
          <w:numId w:val="6"/>
        </w:numPr>
        <w:ind w:left="0" w:firstLine="0"/>
        <w:jc w:val="both"/>
        <w:rPr>
          <w:b w:val="0"/>
          <w:bCs w:val="0"/>
          <w:lang w:val="en-GB"/>
        </w:rPr>
      </w:pPr>
      <w:r w:rsidRPr="00BB6DDA">
        <w:rPr>
          <w:lang w:val="en-GB"/>
        </w:rPr>
        <w:t>a certified copy of the certificate</w:t>
      </w:r>
      <w:r w:rsidRPr="00BB6DDA">
        <w:rPr>
          <w:b w:val="0"/>
          <w:bCs w:val="0"/>
          <w:lang w:val="en-GB"/>
        </w:rPr>
        <w:t xml:space="preserve"> of completion of studies (certified by a notary public or registry office) together with the Diploma Supplement must be submitted by the applicant at enrolment; otherwise, the applicant will not be enrolled in the study programme, </w:t>
      </w:r>
    </w:p>
    <w:p w14:paraId="27ED9C00" w14:textId="77777777" w:rsidR="00BB6DDA" w:rsidRDefault="00BB6DDA" w:rsidP="00BB6DDA">
      <w:pPr>
        <w:pStyle w:val="Odsekzoznamu"/>
        <w:rPr>
          <w:b/>
          <w:bCs/>
          <w:lang w:val="en-GB"/>
        </w:rPr>
      </w:pPr>
    </w:p>
    <w:p w14:paraId="2C60F95D" w14:textId="77777777" w:rsidR="0013235D" w:rsidRDefault="0013235D" w:rsidP="00BB6DDA">
      <w:pPr>
        <w:pStyle w:val="Nadpis2"/>
        <w:numPr>
          <w:ilvl w:val="0"/>
          <w:numId w:val="6"/>
        </w:numPr>
        <w:ind w:left="0" w:firstLine="0"/>
        <w:jc w:val="both"/>
        <w:rPr>
          <w:b w:val="0"/>
          <w:bCs w:val="0"/>
          <w:lang w:val="en-GB"/>
        </w:rPr>
      </w:pPr>
      <w:r w:rsidRPr="00BB6DDA">
        <w:rPr>
          <w:lang w:val="en-GB"/>
        </w:rPr>
        <w:t>incomplete applications</w:t>
      </w:r>
      <w:r w:rsidRPr="00BB6DDA">
        <w:rPr>
          <w:b w:val="0"/>
          <w:bCs w:val="0"/>
          <w:lang w:val="en-GB"/>
        </w:rPr>
        <w:t xml:space="preserve"> (e.g. without proof of payment of the admission fee) will not be accepted, </w:t>
      </w:r>
    </w:p>
    <w:p w14:paraId="53B14799" w14:textId="77777777" w:rsidR="00BB6DDA" w:rsidRDefault="00BB6DDA" w:rsidP="00BB6DDA">
      <w:pPr>
        <w:pStyle w:val="Odsekzoznamu"/>
        <w:rPr>
          <w:b/>
          <w:bCs/>
          <w:lang w:val="en-GB"/>
        </w:rPr>
      </w:pPr>
    </w:p>
    <w:p w14:paraId="31BE18D4" w14:textId="77777777" w:rsidR="0013235D" w:rsidRDefault="0013235D" w:rsidP="00BB6DDA">
      <w:pPr>
        <w:pStyle w:val="Nadpis2"/>
        <w:numPr>
          <w:ilvl w:val="0"/>
          <w:numId w:val="6"/>
        </w:numPr>
        <w:ind w:left="0" w:firstLine="0"/>
        <w:jc w:val="both"/>
        <w:rPr>
          <w:b w:val="0"/>
          <w:bCs w:val="0"/>
          <w:lang w:val="en-GB"/>
        </w:rPr>
      </w:pPr>
      <w:r w:rsidRPr="00BB6DDA">
        <w:rPr>
          <w:b w:val="0"/>
          <w:bCs w:val="0"/>
          <w:lang w:val="en-GB"/>
        </w:rPr>
        <w:t xml:space="preserve">after the admission procedure, the applicant will receive a decision on the result of the admission procedure within 30 days from the verification of fulfilment of admission requirements. An applicant who </w:t>
      </w:r>
      <w:r w:rsidRPr="00BB6DDA">
        <w:rPr>
          <w:b w:val="0"/>
          <w:bCs w:val="0"/>
          <w:lang w:val="en-GB"/>
        </w:rPr>
        <w:lastRenderedPageBreak/>
        <w:t xml:space="preserve">does not meet the requirements at the time of the meeting of the admission committee may be admitted conditionally, </w:t>
      </w:r>
    </w:p>
    <w:p w14:paraId="2CC7443F" w14:textId="77777777" w:rsidR="00BB6DDA" w:rsidRDefault="00BB6DDA" w:rsidP="00BB6DDA">
      <w:pPr>
        <w:pStyle w:val="Odsekzoznamu"/>
        <w:rPr>
          <w:b/>
          <w:bCs/>
          <w:lang w:val="en-GB"/>
        </w:rPr>
      </w:pPr>
    </w:p>
    <w:p w14:paraId="10E1A366" w14:textId="77777777" w:rsidR="0013235D" w:rsidRDefault="0013235D" w:rsidP="00BB6DDA">
      <w:pPr>
        <w:pStyle w:val="Nadpis2"/>
        <w:numPr>
          <w:ilvl w:val="0"/>
          <w:numId w:val="6"/>
        </w:numPr>
        <w:ind w:left="0" w:firstLine="0"/>
        <w:jc w:val="both"/>
        <w:rPr>
          <w:b w:val="0"/>
          <w:bCs w:val="0"/>
          <w:lang w:val="en-GB"/>
        </w:rPr>
      </w:pPr>
      <w:r w:rsidRPr="00BB6DDA">
        <w:rPr>
          <w:b w:val="0"/>
          <w:bCs w:val="0"/>
          <w:lang w:val="en-GB"/>
        </w:rPr>
        <w:t xml:space="preserve">an applicant who is admitted to a study programme is obliged to inform the faculty whether they will enrol in the study programme according to the instructions received in written form together with the admission decision (the e-return slip is part of the decision), </w:t>
      </w:r>
    </w:p>
    <w:p w14:paraId="75C380BF" w14:textId="77777777" w:rsidR="00BB6DDA" w:rsidRDefault="00BB6DDA" w:rsidP="00BB6DDA">
      <w:pPr>
        <w:pStyle w:val="Odsekzoznamu"/>
        <w:rPr>
          <w:b/>
          <w:bCs/>
          <w:lang w:val="en-GB"/>
        </w:rPr>
      </w:pPr>
    </w:p>
    <w:p w14:paraId="57B5A47A" w14:textId="77777777" w:rsidR="0013235D" w:rsidRDefault="0013235D" w:rsidP="00BB6DDA">
      <w:pPr>
        <w:pStyle w:val="Nadpis2"/>
        <w:numPr>
          <w:ilvl w:val="0"/>
          <w:numId w:val="6"/>
        </w:numPr>
        <w:ind w:left="0" w:firstLine="0"/>
        <w:jc w:val="both"/>
        <w:rPr>
          <w:b w:val="0"/>
          <w:bCs w:val="0"/>
          <w:lang w:val="en-GB"/>
        </w:rPr>
      </w:pPr>
      <w:r w:rsidRPr="00BB6DDA">
        <w:rPr>
          <w:b w:val="0"/>
          <w:bCs w:val="0"/>
          <w:lang w:val="en-GB"/>
        </w:rPr>
        <w:t xml:space="preserve">the applicant’s personal data (name, surname, personal identification number, address, etc.) will be processed in accordance with Act No. 18/2018 Coll. on the Protection of Personal Data solely for the purposes of the admission procedure and must not be provided for other purposes, </w:t>
      </w:r>
    </w:p>
    <w:p w14:paraId="5DF6E0C9" w14:textId="77777777" w:rsidR="00BB6DDA" w:rsidRDefault="00BB6DDA" w:rsidP="00BB6DDA">
      <w:pPr>
        <w:pStyle w:val="Odsekzoznamu"/>
        <w:rPr>
          <w:b/>
          <w:bCs/>
          <w:lang w:val="en-GB"/>
        </w:rPr>
      </w:pPr>
    </w:p>
    <w:p w14:paraId="16B791A7" w14:textId="77777777" w:rsidR="0013235D" w:rsidRDefault="0013235D" w:rsidP="00BB6DDA">
      <w:pPr>
        <w:pStyle w:val="Nadpis2"/>
        <w:numPr>
          <w:ilvl w:val="0"/>
          <w:numId w:val="6"/>
        </w:numPr>
        <w:ind w:left="0" w:firstLine="0"/>
        <w:jc w:val="both"/>
        <w:rPr>
          <w:b w:val="0"/>
          <w:bCs w:val="0"/>
          <w:lang w:val="en-GB"/>
        </w:rPr>
      </w:pPr>
      <w:r w:rsidRPr="00BB6DDA">
        <w:rPr>
          <w:b w:val="0"/>
          <w:bCs w:val="0"/>
          <w:lang w:val="en-GB"/>
        </w:rPr>
        <w:t xml:space="preserve">the Dean may accept the results of admission procedures carried out at other faculties of the Slovak University of Agriculture in Nitra or at other higher education institutions, </w:t>
      </w:r>
    </w:p>
    <w:p w14:paraId="03926E6F" w14:textId="77777777" w:rsidR="00BB6DDA" w:rsidRDefault="00BB6DDA" w:rsidP="00BB6DDA">
      <w:pPr>
        <w:pStyle w:val="Odsekzoznamu"/>
        <w:rPr>
          <w:b/>
          <w:bCs/>
          <w:lang w:val="en-GB"/>
        </w:rPr>
      </w:pPr>
    </w:p>
    <w:p w14:paraId="0D812912" w14:textId="77777777" w:rsidR="0013235D" w:rsidRDefault="0013235D" w:rsidP="00BB6DDA">
      <w:pPr>
        <w:pStyle w:val="Nadpis2"/>
        <w:numPr>
          <w:ilvl w:val="0"/>
          <w:numId w:val="6"/>
        </w:numPr>
        <w:ind w:left="0" w:firstLine="0"/>
        <w:jc w:val="both"/>
        <w:rPr>
          <w:b w:val="0"/>
          <w:bCs w:val="0"/>
          <w:lang w:val="en-GB"/>
        </w:rPr>
      </w:pPr>
      <w:r w:rsidRPr="00BB6DDA">
        <w:rPr>
          <w:b w:val="0"/>
          <w:bCs w:val="0"/>
          <w:lang w:val="en-GB"/>
        </w:rPr>
        <w:t xml:space="preserve">the Dean may offer applicants who were not placed on the ranking list for the applied study programme the possibility of admission to an alternative study programme with a lower number of applicants, </w:t>
      </w:r>
    </w:p>
    <w:p w14:paraId="2C3930D8" w14:textId="77777777" w:rsidR="00BB6DDA" w:rsidRDefault="00BB6DDA" w:rsidP="00BB6DDA">
      <w:pPr>
        <w:pStyle w:val="Odsekzoznamu"/>
        <w:rPr>
          <w:b/>
          <w:bCs/>
          <w:lang w:val="en-GB"/>
        </w:rPr>
      </w:pPr>
    </w:p>
    <w:p w14:paraId="623AFAC3" w14:textId="3F99E208" w:rsidR="008A652C" w:rsidRPr="00BB6DDA" w:rsidRDefault="0013235D" w:rsidP="00BB6DDA">
      <w:pPr>
        <w:pStyle w:val="Nadpis2"/>
        <w:numPr>
          <w:ilvl w:val="0"/>
          <w:numId w:val="6"/>
        </w:numPr>
        <w:ind w:left="0" w:firstLine="0"/>
        <w:jc w:val="both"/>
        <w:rPr>
          <w:b w:val="0"/>
          <w:bCs w:val="0"/>
          <w:lang w:val="en-GB"/>
        </w:rPr>
      </w:pPr>
      <w:r w:rsidRPr="00BB6DDA">
        <w:rPr>
          <w:b w:val="0"/>
          <w:bCs w:val="0"/>
          <w:lang w:val="en-GB"/>
        </w:rPr>
        <w:t>the faculty reserves the right not to open a study programme with a low number of applicants. In such a case, the faculty will offer the applicant another accredited study programme.</w:t>
      </w:r>
    </w:p>
    <w:p w14:paraId="2C2D88FD" w14:textId="77777777" w:rsidR="0013235D" w:rsidRPr="00BB6DDA" w:rsidRDefault="0013235D">
      <w:pPr>
        <w:pStyle w:val="Nadpis2"/>
        <w:ind w:left="134"/>
        <w:rPr>
          <w:lang w:val="en-GB"/>
        </w:rPr>
      </w:pPr>
    </w:p>
    <w:p w14:paraId="247DA809" w14:textId="77777777" w:rsidR="0013235D" w:rsidRPr="0013235D" w:rsidRDefault="0013235D" w:rsidP="0013235D">
      <w:pPr>
        <w:rPr>
          <w:lang w:val="en-GB"/>
        </w:rPr>
      </w:pPr>
      <w:r w:rsidRPr="0013235D">
        <w:rPr>
          <w:b/>
          <w:bCs/>
          <w:lang w:val="en-GB"/>
        </w:rPr>
        <w:t>INFORMATION FOR INTERNATIONAL APPLICANTS OR APPLICANTS WHO COMPLETED THE FIRST CYCLE OF STUDY ABROAD</w:t>
      </w:r>
    </w:p>
    <w:p w14:paraId="03A41679" w14:textId="77777777" w:rsidR="0013235D" w:rsidRPr="0013235D" w:rsidRDefault="0013235D" w:rsidP="0013235D">
      <w:pPr>
        <w:rPr>
          <w:lang w:val="en-GB"/>
        </w:rPr>
      </w:pPr>
      <w:r w:rsidRPr="0013235D">
        <w:rPr>
          <w:lang w:val="en-GB"/>
        </w:rPr>
        <w:t>International applicants are required to obtain a recognition statement via the following link:</w:t>
      </w:r>
      <w:r w:rsidRPr="0013235D">
        <w:rPr>
          <w:lang w:val="en-GB"/>
        </w:rPr>
        <w:br/>
      </w:r>
      <w:hyperlink r:id="rId15" w:tgtFrame="_new" w:history="1">
        <w:r w:rsidRPr="0013235D">
          <w:rPr>
            <w:rStyle w:val="Hypertextovprepojenie"/>
            <w:lang w:val="en-GB"/>
          </w:rPr>
          <w:t>https://uznavanie.minedu.sk/recognition-statement/</w:t>
        </w:r>
      </w:hyperlink>
    </w:p>
    <w:p w14:paraId="4D1687E5" w14:textId="77777777" w:rsidR="008A652C" w:rsidRPr="00BB6DDA" w:rsidRDefault="008A652C">
      <w:pPr>
        <w:rPr>
          <w:lang w:val="en-GB"/>
        </w:rPr>
      </w:pPr>
    </w:p>
    <w:p w14:paraId="49AE0658" w14:textId="77777777" w:rsidR="00DD17A5" w:rsidRPr="00BB6DDA" w:rsidRDefault="00DD17A5">
      <w:pPr>
        <w:rPr>
          <w:lang w:val="en-GB"/>
        </w:rPr>
      </w:pPr>
    </w:p>
    <w:p w14:paraId="4970F117" w14:textId="26782D6E" w:rsidR="009F33AD" w:rsidRPr="00BB6DDA" w:rsidRDefault="009F33AD" w:rsidP="009F33AD">
      <w:pPr>
        <w:rPr>
          <w:lang w:val="en-GB"/>
        </w:rPr>
      </w:pPr>
      <w:r w:rsidRPr="00BB6DDA">
        <w:rPr>
          <w:b/>
          <w:bCs/>
          <w:lang w:val="en-GB"/>
        </w:rPr>
        <w:t>EXPECTED NUMBER OF STUDENTS</w:t>
      </w:r>
      <w:r w:rsidRPr="00BB6DDA">
        <w:rPr>
          <w:lang w:val="en-GB"/>
        </w:rPr>
        <w:br/>
        <w:t xml:space="preserve">Second-cycle (Master’s) study programme in the field of </w:t>
      </w:r>
      <w:r w:rsidRPr="00BB6DDA">
        <w:rPr>
          <w:b/>
          <w:bCs/>
          <w:lang w:val="en-GB"/>
        </w:rPr>
        <w:t>Agriculture and Landscape Management</w:t>
      </w:r>
    </w:p>
    <w:tbl>
      <w:tblPr>
        <w:tblStyle w:val="Mriekatabuky"/>
        <w:tblpPr w:leftFromText="141" w:rightFromText="141" w:vertAnchor="text" w:horzAnchor="margin" w:tblpX="74" w:tblpY="36"/>
        <w:tblW w:w="8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992"/>
        <w:gridCol w:w="1843"/>
        <w:gridCol w:w="1559"/>
        <w:gridCol w:w="1445"/>
      </w:tblGrid>
      <w:tr w:rsidR="008B45B4" w:rsidRPr="00BB6DDA" w14:paraId="44B00B5F" w14:textId="77777777" w:rsidTr="009F33AD">
        <w:trPr>
          <w:trHeight w:val="438"/>
        </w:trPr>
        <w:tc>
          <w:tcPr>
            <w:tcW w:w="2977" w:type="dxa"/>
            <w:tcBorders>
              <w:top w:val="single" w:sz="4" w:space="0" w:color="auto"/>
              <w:left w:val="single" w:sz="4" w:space="0" w:color="auto"/>
              <w:bottom w:val="single" w:sz="4" w:space="0" w:color="auto"/>
              <w:right w:val="single" w:sz="4" w:space="0" w:color="auto"/>
            </w:tcBorders>
            <w:vAlign w:val="center"/>
          </w:tcPr>
          <w:p w14:paraId="2CC30903" w14:textId="1EFF04BB" w:rsidR="008B45B4" w:rsidRPr="00BB6DDA" w:rsidRDefault="009F33AD" w:rsidP="009F33AD">
            <w:pPr>
              <w:rPr>
                <w:rFonts w:ascii="Roboto" w:hAnsi="Roboto"/>
                <w:b/>
                <w:color w:val="E36C0A" w:themeColor="accent6" w:themeShade="BF"/>
                <w:sz w:val="20"/>
                <w:szCs w:val="20"/>
                <w:lang w:val="en-GB"/>
              </w:rPr>
            </w:pPr>
            <w:bookmarkStart w:id="5" w:name="PREDPOKLADANÉ_POČTY_ŠTUDENTOV"/>
            <w:bookmarkEnd w:id="5"/>
            <w:r w:rsidRPr="009F33AD">
              <w:rPr>
                <w:rFonts w:ascii="Roboto" w:hAnsi="Roboto"/>
                <w:b/>
                <w:bCs/>
                <w:color w:val="E36C0A" w:themeColor="accent6" w:themeShade="BF"/>
                <w:sz w:val="20"/>
                <w:szCs w:val="20"/>
                <w:lang w:val="en-GB"/>
              </w:rPr>
              <w:t>MASTER’S (ENGINEER’S) STUDY PROGRAMME</w:t>
            </w:r>
          </w:p>
        </w:tc>
        <w:tc>
          <w:tcPr>
            <w:tcW w:w="992" w:type="dxa"/>
            <w:tcBorders>
              <w:top w:val="single" w:sz="4" w:space="0" w:color="auto"/>
              <w:left w:val="single" w:sz="4" w:space="0" w:color="auto"/>
              <w:bottom w:val="single" w:sz="4" w:space="0" w:color="auto"/>
              <w:right w:val="single" w:sz="4" w:space="0" w:color="auto"/>
            </w:tcBorders>
            <w:vAlign w:val="center"/>
          </w:tcPr>
          <w:p w14:paraId="513D9201" w14:textId="35027D3C" w:rsidR="008B45B4" w:rsidRPr="00BB6DDA" w:rsidRDefault="009F33AD" w:rsidP="009F33AD">
            <w:pPr>
              <w:jc w:val="center"/>
              <w:rPr>
                <w:rFonts w:ascii="Roboto" w:hAnsi="Roboto"/>
                <w:b/>
                <w:color w:val="E36C0A" w:themeColor="accent6" w:themeShade="BF"/>
                <w:sz w:val="20"/>
                <w:szCs w:val="20"/>
                <w:lang w:val="en-GB"/>
              </w:rPr>
            </w:pPr>
            <w:r w:rsidRPr="00BB6DDA">
              <w:rPr>
                <w:rFonts w:ascii="Roboto" w:hAnsi="Roboto"/>
                <w:b/>
                <w:color w:val="E36C0A" w:themeColor="accent6" w:themeShade="BF"/>
                <w:sz w:val="20"/>
                <w:szCs w:val="20"/>
                <w:lang w:val="en-GB"/>
              </w:rPr>
              <w:t>Length of study</w:t>
            </w:r>
          </w:p>
        </w:tc>
        <w:tc>
          <w:tcPr>
            <w:tcW w:w="1843" w:type="dxa"/>
            <w:tcBorders>
              <w:top w:val="single" w:sz="4" w:space="0" w:color="auto"/>
              <w:left w:val="single" w:sz="4" w:space="0" w:color="auto"/>
              <w:bottom w:val="single" w:sz="4" w:space="0" w:color="auto"/>
              <w:right w:val="single" w:sz="4" w:space="0" w:color="auto"/>
            </w:tcBorders>
            <w:vAlign w:val="center"/>
          </w:tcPr>
          <w:p w14:paraId="42170901" w14:textId="749A8266" w:rsidR="008B45B4" w:rsidRPr="00BB6DDA" w:rsidRDefault="009F33AD" w:rsidP="009F33AD">
            <w:pPr>
              <w:jc w:val="center"/>
              <w:rPr>
                <w:rFonts w:ascii="Roboto" w:hAnsi="Roboto"/>
                <w:b/>
                <w:color w:val="E36C0A" w:themeColor="accent6" w:themeShade="BF"/>
                <w:sz w:val="20"/>
                <w:szCs w:val="20"/>
                <w:lang w:val="en-GB"/>
              </w:rPr>
            </w:pPr>
            <w:r w:rsidRPr="00BB6DDA">
              <w:rPr>
                <w:rFonts w:ascii="Roboto" w:hAnsi="Roboto"/>
                <w:b/>
                <w:color w:val="E36C0A" w:themeColor="accent6" w:themeShade="BF"/>
                <w:sz w:val="20"/>
                <w:szCs w:val="20"/>
                <w:lang w:val="en-GB"/>
              </w:rPr>
              <w:t>Form of study</w:t>
            </w:r>
          </w:p>
        </w:tc>
        <w:tc>
          <w:tcPr>
            <w:tcW w:w="1559" w:type="dxa"/>
            <w:tcBorders>
              <w:top w:val="single" w:sz="4" w:space="0" w:color="auto"/>
              <w:left w:val="single" w:sz="4" w:space="0" w:color="auto"/>
              <w:bottom w:val="single" w:sz="4" w:space="0" w:color="auto"/>
              <w:right w:val="single" w:sz="4" w:space="0" w:color="auto"/>
            </w:tcBorders>
            <w:vAlign w:val="center"/>
          </w:tcPr>
          <w:p w14:paraId="08C140A3" w14:textId="42603E1A" w:rsidR="008B45B4" w:rsidRPr="00BB6DDA" w:rsidRDefault="009F33AD" w:rsidP="009F33AD">
            <w:pPr>
              <w:jc w:val="center"/>
              <w:rPr>
                <w:rFonts w:ascii="Roboto" w:hAnsi="Roboto"/>
                <w:b/>
                <w:color w:val="E36C0A" w:themeColor="accent6" w:themeShade="BF"/>
                <w:sz w:val="20"/>
                <w:szCs w:val="20"/>
                <w:lang w:val="en-GB"/>
              </w:rPr>
            </w:pPr>
            <w:r w:rsidRPr="00BB6DDA">
              <w:rPr>
                <w:rFonts w:ascii="Roboto" w:hAnsi="Roboto"/>
                <w:b/>
                <w:color w:val="E36C0A" w:themeColor="accent6" w:themeShade="BF"/>
                <w:sz w:val="20"/>
                <w:szCs w:val="20"/>
                <w:lang w:val="en-GB"/>
              </w:rPr>
              <w:t>Planned number of students</w:t>
            </w:r>
          </w:p>
        </w:tc>
        <w:tc>
          <w:tcPr>
            <w:tcW w:w="1445" w:type="dxa"/>
            <w:tcBorders>
              <w:top w:val="single" w:sz="4" w:space="0" w:color="auto"/>
              <w:left w:val="single" w:sz="4" w:space="0" w:color="auto"/>
              <w:bottom w:val="single" w:sz="4" w:space="0" w:color="auto"/>
              <w:right w:val="single" w:sz="4" w:space="0" w:color="auto"/>
            </w:tcBorders>
            <w:vAlign w:val="center"/>
          </w:tcPr>
          <w:p w14:paraId="78D95573" w14:textId="6BFEDC19" w:rsidR="008B45B4" w:rsidRPr="00BB6DDA" w:rsidRDefault="009F33AD" w:rsidP="009F33AD">
            <w:pPr>
              <w:jc w:val="center"/>
              <w:rPr>
                <w:rFonts w:ascii="Roboto" w:hAnsi="Roboto"/>
                <w:b/>
                <w:color w:val="E36C0A" w:themeColor="accent6" w:themeShade="BF"/>
                <w:sz w:val="20"/>
                <w:szCs w:val="20"/>
                <w:lang w:val="en-GB"/>
              </w:rPr>
            </w:pPr>
            <w:r w:rsidRPr="00BB6DDA">
              <w:rPr>
                <w:rFonts w:ascii="Roboto" w:hAnsi="Roboto"/>
                <w:b/>
                <w:color w:val="E36C0A" w:themeColor="accent6" w:themeShade="BF"/>
                <w:sz w:val="20"/>
                <w:szCs w:val="20"/>
                <w:lang w:val="en-GB"/>
              </w:rPr>
              <w:t>Tuition fee / academic year</w:t>
            </w:r>
          </w:p>
        </w:tc>
      </w:tr>
      <w:tr w:rsidR="008B45B4" w:rsidRPr="00BB6DDA" w14:paraId="0EEC6877" w14:textId="77777777" w:rsidTr="009F33AD">
        <w:trPr>
          <w:trHeight w:val="449"/>
        </w:trPr>
        <w:tc>
          <w:tcPr>
            <w:tcW w:w="2977" w:type="dxa"/>
            <w:tcBorders>
              <w:top w:val="single" w:sz="4" w:space="0" w:color="auto"/>
              <w:left w:val="single" w:sz="4" w:space="0" w:color="auto"/>
              <w:bottom w:val="single" w:sz="4" w:space="0" w:color="auto"/>
              <w:right w:val="single" w:sz="4" w:space="0" w:color="auto"/>
            </w:tcBorders>
            <w:vAlign w:val="center"/>
          </w:tcPr>
          <w:p w14:paraId="30B11940" w14:textId="77777777" w:rsidR="008B45B4" w:rsidRPr="00BB6DDA" w:rsidRDefault="008B45B4" w:rsidP="00DD7B70">
            <w:pPr>
              <w:rPr>
                <w:rFonts w:ascii="Roboto" w:hAnsi="Roboto"/>
                <w:sz w:val="20"/>
                <w:szCs w:val="20"/>
                <w:lang w:val="en-GB"/>
              </w:rPr>
            </w:pPr>
            <w:r w:rsidRPr="00BB6DDA">
              <w:rPr>
                <w:rFonts w:ascii="Roboto" w:hAnsi="Roboto"/>
                <w:sz w:val="20"/>
                <w:szCs w:val="20"/>
                <w:lang w:val="en-GB"/>
              </w:rPr>
              <w:t>International Master of Horticulture Science</w:t>
            </w:r>
          </w:p>
        </w:tc>
        <w:tc>
          <w:tcPr>
            <w:tcW w:w="992" w:type="dxa"/>
            <w:tcBorders>
              <w:top w:val="single" w:sz="4" w:space="0" w:color="auto"/>
              <w:left w:val="single" w:sz="4" w:space="0" w:color="auto"/>
              <w:bottom w:val="single" w:sz="4" w:space="0" w:color="auto"/>
              <w:right w:val="single" w:sz="4" w:space="0" w:color="auto"/>
            </w:tcBorders>
            <w:vAlign w:val="center"/>
          </w:tcPr>
          <w:p w14:paraId="152268A5" w14:textId="6928C400" w:rsidR="008B45B4" w:rsidRPr="00BB6DDA" w:rsidRDefault="008B45B4" w:rsidP="00DD7B70">
            <w:pPr>
              <w:jc w:val="center"/>
              <w:rPr>
                <w:rFonts w:ascii="Roboto" w:hAnsi="Roboto"/>
                <w:sz w:val="20"/>
                <w:szCs w:val="20"/>
                <w:lang w:val="en-GB"/>
              </w:rPr>
            </w:pPr>
            <w:r w:rsidRPr="00BB6DDA">
              <w:rPr>
                <w:rFonts w:ascii="Roboto" w:hAnsi="Roboto"/>
                <w:sz w:val="20"/>
                <w:szCs w:val="20"/>
                <w:lang w:val="en-GB"/>
              </w:rPr>
              <w:t xml:space="preserve">2 </w:t>
            </w:r>
            <w:r w:rsidR="009F33AD" w:rsidRPr="00BB6DDA">
              <w:rPr>
                <w:rFonts w:ascii="Roboto" w:hAnsi="Roboto"/>
                <w:sz w:val="20"/>
                <w:szCs w:val="20"/>
                <w:lang w:val="en-GB"/>
              </w:rPr>
              <w:t>years</w:t>
            </w:r>
          </w:p>
        </w:tc>
        <w:tc>
          <w:tcPr>
            <w:tcW w:w="1843" w:type="dxa"/>
            <w:tcBorders>
              <w:top w:val="single" w:sz="4" w:space="0" w:color="auto"/>
              <w:left w:val="single" w:sz="4" w:space="0" w:color="auto"/>
              <w:bottom w:val="single" w:sz="4" w:space="0" w:color="auto"/>
              <w:right w:val="single" w:sz="4" w:space="0" w:color="auto"/>
            </w:tcBorders>
            <w:vAlign w:val="center"/>
          </w:tcPr>
          <w:p w14:paraId="641544DA" w14:textId="565B6B09" w:rsidR="008B45B4" w:rsidRPr="00BB6DDA" w:rsidRDefault="009F33AD" w:rsidP="009F33AD">
            <w:pPr>
              <w:jc w:val="center"/>
              <w:rPr>
                <w:rFonts w:ascii="Roboto" w:hAnsi="Roboto"/>
                <w:sz w:val="20"/>
                <w:szCs w:val="20"/>
                <w:lang w:val="en-GB"/>
              </w:rPr>
            </w:pPr>
            <w:r w:rsidRPr="00BB6DDA">
              <w:rPr>
                <w:rFonts w:ascii="Roboto" w:hAnsi="Roboto"/>
                <w:sz w:val="20"/>
                <w:szCs w:val="20"/>
                <w:lang w:val="en-GB"/>
              </w:rPr>
              <w:t>full-time – English language</w:t>
            </w:r>
          </w:p>
        </w:tc>
        <w:tc>
          <w:tcPr>
            <w:tcW w:w="1559" w:type="dxa"/>
            <w:tcBorders>
              <w:top w:val="single" w:sz="4" w:space="0" w:color="auto"/>
              <w:left w:val="single" w:sz="4" w:space="0" w:color="auto"/>
              <w:bottom w:val="single" w:sz="4" w:space="0" w:color="auto"/>
              <w:right w:val="single" w:sz="4" w:space="0" w:color="auto"/>
            </w:tcBorders>
            <w:vAlign w:val="center"/>
          </w:tcPr>
          <w:p w14:paraId="1EFF40E7" w14:textId="77777777" w:rsidR="008B45B4" w:rsidRPr="00BB6DDA" w:rsidRDefault="008B45B4" w:rsidP="00DD7B70">
            <w:pPr>
              <w:jc w:val="center"/>
              <w:rPr>
                <w:rFonts w:ascii="Roboto" w:hAnsi="Roboto"/>
                <w:sz w:val="20"/>
                <w:szCs w:val="20"/>
                <w:lang w:val="en-GB"/>
              </w:rPr>
            </w:pPr>
            <w:r w:rsidRPr="00BB6DDA">
              <w:rPr>
                <w:rFonts w:ascii="Roboto" w:hAnsi="Roboto"/>
                <w:sz w:val="20"/>
                <w:szCs w:val="20"/>
                <w:lang w:val="en-GB"/>
              </w:rPr>
              <w:t>5</w:t>
            </w:r>
          </w:p>
        </w:tc>
        <w:tc>
          <w:tcPr>
            <w:tcW w:w="1445" w:type="dxa"/>
            <w:tcBorders>
              <w:top w:val="single" w:sz="4" w:space="0" w:color="auto"/>
              <w:left w:val="single" w:sz="4" w:space="0" w:color="auto"/>
              <w:bottom w:val="single" w:sz="4" w:space="0" w:color="auto"/>
              <w:right w:val="single" w:sz="4" w:space="0" w:color="auto"/>
            </w:tcBorders>
            <w:vAlign w:val="center"/>
          </w:tcPr>
          <w:p w14:paraId="4169B25D" w14:textId="77777777" w:rsidR="008B45B4" w:rsidRPr="00BB6DDA" w:rsidRDefault="008B45B4" w:rsidP="00DD7B70">
            <w:pPr>
              <w:jc w:val="center"/>
              <w:rPr>
                <w:rFonts w:ascii="Roboto" w:hAnsi="Roboto"/>
                <w:sz w:val="20"/>
                <w:szCs w:val="20"/>
                <w:lang w:val="en-GB"/>
              </w:rPr>
            </w:pPr>
            <w:r w:rsidRPr="00BB6DDA">
              <w:rPr>
                <w:rFonts w:ascii="Roboto" w:hAnsi="Roboto"/>
                <w:sz w:val="20"/>
                <w:szCs w:val="20"/>
                <w:lang w:val="en-GB"/>
              </w:rPr>
              <w:t>2200,00 €</w:t>
            </w:r>
          </w:p>
        </w:tc>
      </w:tr>
    </w:tbl>
    <w:p w14:paraId="04E81B05" w14:textId="77777777" w:rsidR="00107A22" w:rsidRPr="00BB6DDA" w:rsidRDefault="00107A22" w:rsidP="00A63974">
      <w:pPr>
        <w:pStyle w:val="Nadpis3"/>
        <w:rPr>
          <w:lang w:val="en-GB"/>
        </w:rPr>
      </w:pPr>
    </w:p>
    <w:p w14:paraId="62CCEAD0" w14:textId="77777777" w:rsidR="009F33AD" w:rsidRPr="00BB6DDA" w:rsidRDefault="009F33AD" w:rsidP="00BB6DDA">
      <w:pPr>
        <w:spacing w:before="120"/>
        <w:ind w:right="130"/>
        <w:jc w:val="both"/>
        <w:rPr>
          <w:b/>
          <w:bCs/>
          <w:sz w:val="21"/>
          <w:lang w:val="en-GB"/>
        </w:rPr>
      </w:pPr>
      <w:r w:rsidRPr="009F33AD">
        <w:rPr>
          <w:b/>
          <w:bCs/>
          <w:sz w:val="21"/>
          <w:lang w:val="en-GB"/>
        </w:rPr>
        <w:t>Submission of applications is carried out exclusively electronically.</w:t>
      </w:r>
      <w:r w:rsidRPr="009F33AD">
        <w:rPr>
          <w:b/>
          <w:bCs/>
          <w:sz w:val="21"/>
          <w:lang w:val="en-GB"/>
        </w:rPr>
        <w:br/>
        <w:t>Application deadline (e-application): by 15 July 2026</w:t>
      </w:r>
    </w:p>
    <w:p w14:paraId="07EC0CCE" w14:textId="6A592B4A" w:rsidR="009F33AD" w:rsidRPr="009F33AD" w:rsidRDefault="009F33AD" w:rsidP="00BB6DDA">
      <w:pPr>
        <w:spacing w:before="120"/>
        <w:ind w:right="130"/>
        <w:jc w:val="both"/>
        <w:rPr>
          <w:sz w:val="21"/>
          <w:lang w:val="en-GB"/>
        </w:rPr>
      </w:pPr>
      <w:r w:rsidRPr="009F33AD">
        <w:rPr>
          <w:b/>
          <w:bCs/>
          <w:sz w:val="21"/>
          <w:lang w:val="en-GB"/>
        </w:rPr>
        <w:t>Admission procedure fee</w:t>
      </w:r>
      <w:r w:rsidRPr="009F33AD">
        <w:rPr>
          <w:sz w:val="21"/>
          <w:lang w:val="en-GB"/>
        </w:rPr>
        <w:t>: €60.00</w:t>
      </w:r>
    </w:p>
    <w:p w14:paraId="05B3E9D2" w14:textId="77777777" w:rsidR="009F33AD" w:rsidRPr="009F33AD" w:rsidRDefault="009F33AD" w:rsidP="00BB6DDA">
      <w:pPr>
        <w:spacing w:before="120"/>
        <w:ind w:right="130"/>
        <w:jc w:val="both"/>
        <w:rPr>
          <w:sz w:val="21"/>
          <w:lang w:val="en-GB"/>
        </w:rPr>
      </w:pPr>
      <w:r w:rsidRPr="009F33AD">
        <w:rPr>
          <w:sz w:val="21"/>
          <w:lang w:val="en-GB"/>
        </w:rPr>
        <w:t xml:space="preserve">Method of payment for the electronic application and the admission procedure: </w:t>
      </w:r>
      <w:r w:rsidRPr="009F33AD">
        <w:rPr>
          <w:b/>
          <w:bCs/>
          <w:sz w:val="21"/>
          <w:lang w:val="en-GB"/>
        </w:rPr>
        <w:t>cashless payment</w:t>
      </w:r>
      <w:r w:rsidRPr="009F33AD">
        <w:rPr>
          <w:sz w:val="21"/>
          <w:lang w:val="en-GB"/>
        </w:rPr>
        <w:t xml:space="preserve"> according to the instructions provided in the electronic application. To complete the payment of the admission procedure fee, please follow the instructions in the electronic application.</w:t>
      </w:r>
    </w:p>
    <w:p w14:paraId="6ECB895F" w14:textId="77777777" w:rsidR="009F33AD" w:rsidRPr="00BB6DDA" w:rsidRDefault="009F33AD" w:rsidP="00BB6DDA">
      <w:pPr>
        <w:spacing w:before="120"/>
        <w:ind w:right="130"/>
        <w:jc w:val="both"/>
        <w:rPr>
          <w:sz w:val="21"/>
          <w:lang w:val="en-GB"/>
        </w:rPr>
      </w:pPr>
      <w:r w:rsidRPr="009F33AD">
        <w:rPr>
          <w:sz w:val="21"/>
          <w:lang w:val="en-GB"/>
        </w:rPr>
        <w:t>For payments from other EU countries, the following details are also required:</w:t>
      </w:r>
      <w:r w:rsidRPr="009F33AD">
        <w:rPr>
          <w:sz w:val="21"/>
          <w:lang w:val="en-GB"/>
        </w:rPr>
        <w:br/>
        <w:t xml:space="preserve">o </w:t>
      </w:r>
      <w:r w:rsidRPr="009F33AD">
        <w:rPr>
          <w:b/>
          <w:bCs/>
          <w:sz w:val="21"/>
          <w:lang w:val="en-GB"/>
        </w:rPr>
        <w:t>BIC/SWIFT code:</w:t>
      </w:r>
      <w:r w:rsidRPr="009F33AD">
        <w:rPr>
          <w:sz w:val="21"/>
          <w:lang w:val="en-GB"/>
        </w:rPr>
        <w:t xml:space="preserve"> SPSRSKBA</w:t>
      </w:r>
    </w:p>
    <w:p w14:paraId="621DCC7E" w14:textId="1161E9BD" w:rsidR="009F33AD" w:rsidRPr="009F33AD" w:rsidRDefault="009F33AD" w:rsidP="00BB6DDA">
      <w:pPr>
        <w:spacing w:before="120"/>
        <w:ind w:right="130"/>
        <w:jc w:val="both"/>
        <w:rPr>
          <w:sz w:val="21"/>
          <w:lang w:val="en-GB"/>
        </w:rPr>
      </w:pPr>
      <w:r w:rsidRPr="009F33AD">
        <w:rPr>
          <w:sz w:val="21"/>
          <w:lang w:val="en-GB"/>
        </w:rPr>
        <w:t xml:space="preserve">o </w:t>
      </w:r>
      <w:r w:rsidRPr="009F33AD">
        <w:rPr>
          <w:b/>
          <w:bCs/>
          <w:sz w:val="21"/>
          <w:lang w:val="en-GB"/>
        </w:rPr>
        <w:t>message for the recipient</w:t>
      </w:r>
      <w:r w:rsidRPr="009F33AD">
        <w:rPr>
          <w:sz w:val="21"/>
          <w:lang w:val="en-GB"/>
        </w:rPr>
        <w:t xml:space="preserve"> – specific symbol + surname and name of the applicant (to be entered </w:t>
      </w:r>
      <w:r w:rsidRPr="009F33AD">
        <w:rPr>
          <w:b/>
          <w:bCs/>
          <w:sz w:val="21"/>
          <w:lang w:val="en-GB"/>
        </w:rPr>
        <w:t>without diacritics</w:t>
      </w:r>
      <w:r w:rsidRPr="009F33AD">
        <w:rPr>
          <w:sz w:val="21"/>
          <w:lang w:val="en-GB"/>
        </w:rPr>
        <w:t>)</w:t>
      </w:r>
    </w:p>
    <w:p w14:paraId="2C3AE840" w14:textId="77777777" w:rsidR="009F33AD" w:rsidRPr="009F33AD" w:rsidRDefault="009F33AD" w:rsidP="00BB6DDA">
      <w:pPr>
        <w:spacing w:before="120"/>
        <w:ind w:right="130"/>
        <w:jc w:val="both"/>
        <w:rPr>
          <w:sz w:val="21"/>
          <w:lang w:val="en-GB"/>
        </w:rPr>
      </w:pPr>
      <w:r w:rsidRPr="009F33AD">
        <w:rPr>
          <w:sz w:val="21"/>
          <w:lang w:val="en-GB"/>
        </w:rPr>
        <w:t xml:space="preserve">In case of questions, please contact the </w:t>
      </w:r>
      <w:r w:rsidRPr="009F33AD">
        <w:rPr>
          <w:b/>
          <w:bCs/>
          <w:sz w:val="21"/>
          <w:lang w:val="en-GB"/>
        </w:rPr>
        <w:t>Study Department of the Faculty of Horticulture and Landscape Engineering, Slovak University of Agriculture in Nitra</w:t>
      </w:r>
      <w:r w:rsidRPr="009F33AD">
        <w:rPr>
          <w:sz w:val="21"/>
          <w:lang w:val="en-GB"/>
        </w:rPr>
        <w:t>, Tulipánova 7, 949 76 Nitra:</w:t>
      </w:r>
    </w:p>
    <w:p w14:paraId="5993836A" w14:textId="77777777" w:rsidR="009F33AD" w:rsidRPr="00BB6DDA" w:rsidRDefault="009F33AD" w:rsidP="00BB6DDA">
      <w:pPr>
        <w:spacing w:before="120"/>
        <w:ind w:right="130"/>
        <w:jc w:val="both"/>
        <w:rPr>
          <w:b/>
          <w:bCs/>
          <w:sz w:val="21"/>
          <w:lang w:val="en-GB"/>
        </w:rPr>
      </w:pPr>
      <w:r w:rsidRPr="009F33AD">
        <w:rPr>
          <w:sz w:val="21"/>
          <w:lang w:val="en-GB"/>
        </w:rPr>
        <w:t xml:space="preserve">Study Department: </w:t>
      </w:r>
      <w:r w:rsidRPr="009F33AD">
        <w:rPr>
          <w:b/>
          <w:bCs/>
          <w:sz w:val="21"/>
          <w:lang w:val="en-GB"/>
        </w:rPr>
        <w:t>Ing. Ivana Mesjarová</w:t>
      </w:r>
    </w:p>
    <w:p w14:paraId="6AEC96FF" w14:textId="0B256555" w:rsidR="009F33AD" w:rsidRPr="009F33AD" w:rsidRDefault="009F33AD" w:rsidP="00BB6DDA">
      <w:pPr>
        <w:spacing w:before="120"/>
        <w:ind w:right="130"/>
        <w:jc w:val="both"/>
        <w:rPr>
          <w:sz w:val="21"/>
          <w:lang w:val="en-GB"/>
        </w:rPr>
      </w:pPr>
      <w:r w:rsidRPr="009F33AD">
        <w:rPr>
          <w:sz w:val="21"/>
          <w:lang w:val="en-GB"/>
        </w:rPr>
        <w:t>Tel.: +421 37 641 5412; e-mail: ivana.mesjarova@uniag.sk</w:t>
      </w:r>
    </w:p>
    <w:p w14:paraId="7315F882" w14:textId="77777777" w:rsidR="009F33AD" w:rsidRPr="00656E15" w:rsidRDefault="009F33AD" w:rsidP="00BB6DDA">
      <w:pPr>
        <w:spacing w:before="120"/>
        <w:ind w:right="130"/>
        <w:jc w:val="both"/>
        <w:rPr>
          <w:b/>
          <w:bCs/>
          <w:sz w:val="21"/>
          <w:lang w:val="pt-PT"/>
        </w:rPr>
      </w:pPr>
      <w:r w:rsidRPr="009F33AD">
        <w:rPr>
          <w:sz w:val="21"/>
          <w:lang w:val="en-GB"/>
        </w:rPr>
        <w:lastRenderedPageBreak/>
        <w:t xml:space="preserve">Study Department – second cycle of study: </w:t>
      </w:r>
      <w:r w:rsidRPr="009F33AD">
        <w:rPr>
          <w:b/>
          <w:bCs/>
          <w:sz w:val="21"/>
          <w:lang w:val="en-GB"/>
        </w:rPr>
        <w:t xml:space="preserve">Ing. </w:t>
      </w:r>
      <w:r w:rsidRPr="00656E15">
        <w:rPr>
          <w:b/>
          <w:bCs/>
          <w:sz w:val="21"/>
          <w:lang w:val="pt-PT"/>
        </w:rPr>
        <w:t>Mária Šufliarska</w:t>
      </w:r>
    </w:p>
    <w:p w14:paraId="116993E0" w14:textId="2CEB9501" w:rsidR="009F33AD" w:rsidRPr="00656E15" w:rsidRDefault="009F33AD" w:rsidP="00BB6DDA">
      <w:pPr>
        <w:spacing w:before="120"/>
        <w:ind w:right="130"/>
        <w:jc w:val="both"/>
        <w:rPr>
          <w:sz w:val="21"/>
          <w:lang w:val="pt-PT"/>
        </w:rPr>
      </w:pPr>
      <w:r w:rsidRPr="00656E15">
        <w:rPr>
          <w:sz w:val="21"/>
          <w:lang w:val="pt-PT"/>
        </w:rPr>
        <w:t>Tel.: +421 37 641 5412; e-mail: maria.sufliarska@uniag.sk</w:t>
      </w:r>
    </w:p>
    <w:p w14:paraId="377C33F2" w14:textId="77777777" w:rsidR="009F33AD" w:rsidRPr="00BB6DDA" w:rsidRDefault="009F33AD" w:rsidP="00BB6DDA">
      <w:pPr>
        <w:spacing w:before="120"/>
        <w:ind w:right="130"/>
        <w:jc w:val="both"/>
        <w:rPr>
          <w:b/>
          <w:bCs/>
          <w:sz w:val="21"/>
          <w:lang w:val="en-GB"/>
        </w:rPr>
      </w:pPr>
      <w:r w:rsidRPr="009F33AD">
        <w:rPr>
          <w:sz w:val="21"/>
          <w:lang w:val="en-GB"/>
        </w:rPr>
        <w:t xml:space="preserve">Vice-Dean for Educational Activities: </w:t>
      </w:r>
      <w:r w:rsidRPr="009F33AD">
        <w:rPr>
          <w:b/>
          <w:bCs/>
          <w:sz w:val="21"/>
          <w:lang w:val="en-GB"/>
        </w:rPr>
        <w:t>doc. Ing. arch. Roberta Štěpánková, PhD.</w:t>
      </w:r>
    </w:p>
    <w:p w14:paraId="1A5AA6C2" w14:textId="32E1A102" w:rsidR="009F33AD" w:rsidRPr="00656E15" w:rsidRDefault="009F33AD" w:rsidP="00BB6DDA">
      <w:pPr>
        <w:spacing w:before="120"/>
        <w:ind w:right="130"/>
        <w:jc w:val="both"/>
        <w:rPr>
          <w:sz w:val="21"/>
          <w:lang w:val="pt-PT"/>
        </w:rPr>
      </w:pPr>
      <w:r w:rsidRPr="00656E15">
        <w:rPr>
          <w:sz w:val="21"/>
          <w:lang w:val="pt-PT"/>
        </w:rPr>
        <w:t>Tel.: +421 37 641 5412; e-mail: roberta.stepankova@uniag.sk</w:t>
      </w:r>
    </w:p>
    <w:p w14:paraId="390B66D1" w14:textId="77777777" w:rsidR="009F33AD" w:rsidRPr="00BB6DDA" w:rsidRDefault="009F33AD" w:rsidP="00BB6DDA">
      <w:pPr>
        <w:spacing w:before="120"/>
        <w:ind w:right="130"/>
        <w:jc w:val="both"/>
        <w:rPr>
          <w:sz w:val="21"/>
          <w:lang w:val="en-GB"/>
        </w:rPr>
      </w:pPr>
      <w:r w:rsidRPr="009F33AD">
        <w:rPr>
          <w:sz w:val="21"/>
          <w:lang w:val="en-GB"/>
        </w:rPr>
        <w:t>Vice-Dean / Coordinator for International Students:</w:t>
      </w:r>
      <w:r w:rsidRPr="00BB6DDA">
        <w:rPr>
          <w:sz w:val="21"/>
          <w:lang w:val="en-GB"/>
        </w:rPr>
        <w:t xml:space="preserve"> </w:t>
      </w:r>
      <w:r w:rsidRPr="009F33AD">
        <w:rPr>
          <w:b/>
          <w:bCs/>
          <w:sz w:val="21"/>
          <w:lang w:val="en-GB"/>
        </w:rPr>
        <w:t>Prof. Ing. Miroslava Kačániová, PhD.</w:t>
      </w:r>
      <w:r w:rsidRPr="009F33AD">
        <w:rPr>
          <w:sz w:val="21"/>
          <w:lang w:val="en-GB"/>
        </w:rPr>
        <w:t xml:space="preserve"> – Vice-Dean for International Relations and Public Relations</w:t>
      </w:r>
    </w:p>
    <w:p w14:paraId="22BC24AA" w14:textId="0574265D" w:rsidR="009F33AD" w:rsidRPr="00656E15" w:rsidRDefault="009F33AD" w:rsidP="00BB6DDA">
      <w:pPr>
        <w:spacing w:before="120"/>
        <w:ind w:right="130"/>
        <w:jc w:val="both"/>
        <w:rPr>
          <w:sz w:val="21"/>
          <w:lang w:val="pt-PT"/>
        </w:rPr>
      </w:pPr>
      <w:r w:rsidRPr="00656E15">
        <w:rPr>
          <w:sz w:val="21"/>
          <w:lang w:val="pt-PT"/>
        </w:rPr>
        <w:t>Tel.: +421 37 641 5425; e-mail: miroslava.kacaniova@uniag.sk</w:t>
      </w:r>
    </w:p>
    <w:p w14:paraId="48BA7A15" w14:textId="77777777" w:rsidR="009F33AD" w:rsidRPr="00BB6DDA" w:rsidRDefault="009F33AD" w:rsidP="00BB6DDA">
      <w:pPr>
        <w:spacing w:before="120"/>
        <w:ind w:right="130"/>
        <w:jc w:val="both"/>
        <w:rPr>
          <w:sz w:val="21"/>
          <w:lang w:val="en-GB"/>
        </w:rPr>
      </w:pPr>
      <w:r w:rsidRPr="009F33AD">
        <w:rPr>
          <w:sz w:val="21"/>
          <w:lang w:val="en-GB"/>
        </w:rPr>
        <w:t>Coordinator for Applicants with Specific Needs:</w:t>
      </w:r>
    </w:p>
    <w:p w14:paraId="15DEBF82" w14:textId="77777777" w:rsidR="00BB6DDA" w:rsidRDefault="009F33AD" w:rsidP="00BB6DDA">
      <w:pPr>
        <w:spacing w:before="120"/>
        <w:ind w:right="130"/>
        <w:jc w:val="both"/>
        <w:rPr>
          <w:b/>
          <w:bCs/>
          <w:sz w:val="21"/>
          <w:lang w:val="en-GB"/>
        </w:rPr>
      </w:pPr>
      <w:r w:rsidRPr="009F33AD">
        <w:rPr>
          <w:sz w:val="21"/>
          <w:lang w:val="en-GB"/>
        </w:rPr>
        <w:t xml:space="preserve">Vice-Dean for Educational Activities: </w:t>
      </w:r>
      <w:r w:rsidRPr="009F33AD">
        <w:rPr>
          <w:b/>
          <w:bCs/>
          <w:sz w:val="21"/>
          <w:lang w:val="en-GB"/>
        </w:rPr>
        <w:t>doc. Ing. arch. Roberta Štěpánková, PhD.</w:t>
      </w:r>
    </w:p>
    <w:p w14:paraId="26D74C7A" w14:textId="1D65AE41" w:rsidR="009F33AD" w:rsidRPr="009F33AD" w:rsidRDefault="009F33AD" w:rsidP="00BB6DDA">
      <w:pPr>
        <w:spacing w:before="120"/>
        <w:ind w:right="130"/>
        <w:jc w:val="both"/>
        <w:rPr>
          <w:sz w:val="21"/>
          <w:lang w:val="pt-PT"/>
        </w:rPr>
      </w:pPr>
      <w:r w:rsidRPr="009F33AD">
        <w:rPr>
          <w:sz w:val="21"/>
          <w:lang w:val="pt-PT"/>
        </w:rPr>
        <w:t>Tel.: +421 37 641 5412; e-mail: roberta.stepankova@uniag.sk</w:t>
      </w:r>
    </w:p>
    <w:p w14:paraId="0C23AEB1" w14:textId="77777777" w:rsidR="009F33AD" w:rsidRPr="00BB6DDA" w:rsidRDefault="009F33AD" w:rsidP="00BB6DDA">
      <w:pPr>
        <w:spacing w:before="120"/>
        <w:ind w:right="130"/>
        <w:jc w:val="both"/>
        <w:rPr>
          <w:sz w:val="21"/>
          <w:lang w:val="en-GB"/>
        </w:rPr>
      </w:pPr>
      <w:r w:rsidRPr="009F33AD">
        <w:rPr>
          <w:sz w:val="21"/>
          <w:lang w:val="en-GB"/>
        </w:rPr>
        <w:t xml:space="preserve">Published on the website of the </w:t>
      </w:r>
      <w:r w:rsidRPr="009F33AD">
        <w:rPr>
          <w:b/>
          <w:bCs/>
          <w:sz w:val="21"/>
          <w:lang w:val="en-GB"/>
        </w:rPr>
        <w:t>Faculty of Horticulture and Landscape Engineering</w:t>
      </w:r>
      <w:r w:rsidRPr="009F33AD">
        <w:rPr>
          <w:sz w:val="21"/>
          <w:lang w:val="en-GB"/>
        </w:rPr>
        <w:t xml:space="preserve"> in the section </w:t>
      </w:r>
      <w:r w:rsidRPr="009F33AD">
        <w:rPr>
          <w:i/>
          <w:iCs/>
          <w:sz w:val="21"/>
          <w:lang w:val="en-GB"/>
        </w:rPr>
        <w:t>Applicants for Study</w:t>
      </w:r>
      <w:r w:rsidRPr="009F33AD">
        <w:rPr>
          <w:sz w:val="21"/>
          <w:lang w:val="en-GB"/>
        </w:rPr>
        <w:t>:</w:t>
      </w:r>
    </w:p>
    <w:p w14:paraId="2C9D9912" w14:textId="4FF18462" w:rsidR="009F33AD" w:rsidRPr="009F33AD" w:rsidRDefault="009F33AD" w:rsidP="00BB6DDA">
      <w:pPr>
        <w:spacing w:before="120"/>
        <w:ind w:right="130"/>
        <w:jc w:val="both"/>
        <w:rPr>
          <w:sz w:val="21"/>
          <w:lang w:val="en-GB"/>
        </w:rPr>
      </w:pPr>
      <w:hyperlink r:id="rId16" w:tgtFrame="_new" w:history="1">
        <w:r w:rsidRPr="009F33AD">
          <w:rPr>
            <w:rStyle w:val="Hypertextovprepojenie"/>
            <w:sz w:val="21"/>
            <w:lang w:val="en-GB"/>
          </w:rPr>
          <w:t>www.fzki.uniag.sk/sk/</w:t>
        </w:r>
      </w:hyperlink>
      <w:r w:rsidRPr="009F33AD">
        <w:rPr>
          <w:sz w:val="21"/>
          <w:lang w:val="en-GB"/>
        </w:rPr>
        <w:t xml:space="preserve"> and on the Higher Education Portal </w:t>
      </w:r>
      <w:hyperlink r:id="rId17" w:tgtFrame="_new" w:history="1">
        <w:r w:rsidRPr="009F33AD">
          <w:rPr>
            <w:rStyle w:val="Hypertextovprepojenie"/>
            <w:sz w:val="21"/>
            <w:lang w:val="en-GB"/>
          </w:rPr>
          <w:t>www.portalvs.sk</w:t>
        </w:r>
      </w:hyperlink>
    </w:p>
    <w:p w14:paraId="35061C95" w14:textId="77777777" w:rsidR="009F33AD" w:rsidRPr="009F33AD" w:rsidRDefault="009F33AD" w:rsidP="00BB6DDA">
      <w:pPr>
        <w:spacing w:before="120"/>
        <w:ind w:right="130"/>
        <w:jc w:val="both"/>
        <w:rPr>
          <w:sz w:val="21"/>
          <w:lang w:val="en-GB"/>
        </w:rPr>
      </w:pPr>
      <w:r w:rsidRPr="009F33AD">
        <w:rPr>
          <w:sz w:val="21"/>
          <w:lang w:val="en-GB"/>
        </w:rPr>
        <w:t xml:space="preserve">Prepared by: </w:t>
      </w:r>
      <w:r w:rsidRPr="009F33AD">
        <w:rPr>
          <w:b/>
          <w:bCs/>
          <w:sz w:val="21"/>
          <w:lang w:val="en-GB"/>
        </w:rPr>
        <w:t>doc. Ing. arch. R. Štěpánková, PhD.</w:t>
      </w:r>
      <w:r w:rsidRPr="009F33AD">
        <w:rPr>
          <w:sz w:val="21"/>
          <w:lang w:val="en-GB"/>
        </w:rPr>
        <w:t xml:space="preserve"> – Vice-Dean for Educational Activities</w:t>
      </w:r>
    </w:p>
    <w:p w14:paraId="796688E1" w14:textId="77777777" w:rsidR="009F33AD" w:rsidRDefault="009F33AD" w:rsidP="00BB6DDA">
      <w:pPr>
        <w:spacing w:before="120"/>
        <w:ind w:right="130"/>
        <w:jc w:val="both"/>
        <w:rPr>
          <w:sz w:val="21"/>
          <w:highlight w:val="yellow"/>
        </w:rPr>
      </w:pPr>
    </w:p>
    <w:p w14:paraId="44B0C13B" w14:textId="3EFF619C" w:rsidR="00656E15" w:rsidRPr="00641DAC" w:rsidRDefault="00656E15" w:rsidP="00147164">
      <w:pPr>
        <w:pStyle w:val="Nadpis3"/>
        <w:spacing w:before="35"/>
        <w:jc w:val="both"/>
        <w:rPr>
          <w:b w:val="0"/>
          <w:bCs w:val="0"/>
          <w:lang w:val="en-GB"/>
        </w:rPr>
      </w:pPr>
      <w:r w:rsidRPr="00641DAC">
        <w:rPr>
          <w:b w:val="0"/>
          <w:bCs w:val="0"/>
          <w:lang w:val="en-GB"/>
        </w:rPr>
        <w:t xml:space="preserve">The Programme Committee of the study programme </w:t>
      </w:r>
      <w:r w:rsidRPr="00641DAC">
        <w:rPr>
          <w:lang w:val="en-GB"/>
        </w:rPr>
        <w:t xml:space="preserve">Horticulture </w:t>
      </w:r>
      <w:r w:rsidRPr="00641DAC">
        <w:rPr>
          <w:b w:val="0"/>
          <w:bCs w:val="0"/>
          <w:lang w:val="en-GB"/>
        </w:rPr>
        <w:t xml:space="preserve">approved the proposal of the conditions and rules of the admission procedure for the given study programme, taking into account the specific needs of students with special needs, on </w:t>
      </w:r>
      <w:r w:rsidR="00641DAC" w:rsidRPr="00641DAC">
        <w:rPr>
          <w:b w:val="0"/>
          <w:bCs w:val="0"/>
          <w:lang w:val="en-GB"/>
        </w:rPr>
        <w:t>30.1.</w:t>
      </w:r>
      <w:r w:rsidRPr="00641DAC">
        <w:rPr>
          <w:b w:val="0"/>
          <w:bCs w:val="0"/>
          <w:lang w:val="en-GB"/>
        </w:rPr>
        <w:t>2026.</w:t>
      </w:r>
    </w:p>
    <w:p w14:paraId="4BF1DB29" w14:textId="358E3BFB" w:rsidR="00656E15" w:rsidRPr="00641DAC" w:rsidRDefault="00656E15" w:rsidP="00147164">
      <w:pPr>
        <w:pStyle w:val="Nadpis3"/>
        <w:spacing w:before="35"/>
        <w:jc w:val="both"/>
        <w:rPr>
          <w:b w:val="0"/>
          <w:bCs w:val="0"/>
          <w:lang w:val="en-GB"/>
        </w:rPr>
      </w:pPr>
      <w:r w:rsidRPr="00641DAC">
        <w:rPr>
          <w:b w:val="0"/>
          <w:bCs w:val="0"/>
          <w:lang w:val="en-GB"/>
        </w:rPr>
        <w:t xml:space="preserve">The conditions and rules of the admission procedure for the study programme </w:t>
      </w:r>
      <w:r w:rsidRPr="00641DAC">
        <w:rPr>
          <w:lang w:val="en-GB"/>
        </w:rPr>
        <w:t>Horticulture</w:t>
      </w:r>
      <w:r w:rsidRPr="00641DAC">
        <w:rPr>
          <w:b w:val="0"/>
          <w:bCs w:val="0"/>
          <w:lang w:val="en-GB"/>
        </w:rPr>
        <w:t xml:space="preserve"> were approved by the Council for the Internal Quality Assurance System of Education at the Slovak University of Agriculture in Nitra on </w:t>
      </w:r>
      <w:r w:rsidR="00641DAC" w:rsidRPr="00641DAC">
        <w:rPr>
          <w:b w:val="0"/>
          <w:bCs w:val="0"/>
          <w:lang w:val="en-GB"/>
        </w:rPr>
        <w:t>26.2.</w:t>
      </w:r>
      <w:r w:rsidRPr="00641DAC">
        <w:rPr>
          <w:b w:val="0"/>
          <w:bCs w:val="0"/>
          <w:lang w:val="en-GB"/>
        </w:rPr>
        <w:t>2026.</w:t>
      </w:r>
    </w:p>
    <w:p w14:paraId="1CC3E759" w14:textId="77777777" w:rsidR="00B011DF" w:rsidRPr="00147164" w:rsidRDefault="00B011DF" w:rsidP="00147164">
      <w:pPr>
        <w:pStyle w:val="Nadpis3"/>
        <w:spacing w:before="35"/>
        <w:ind w:left="0"/>
        <w:jc w:val="both"/>
        <w:rPr>
          <w:b w:val="0"/>
          <w:lang w:val="en-GB"/>
        </w:rPr>
      </w:pPr>
    </w:p>
    <w:sectPr w:rsidR="00B011DF" w:rsidRPr="00147164">
      <w:headerReference w:type="default" r:id="rId18"/>
      <w:footerReference w:type="default" r:id="rId19"/>
      <w:pgSz w:w="11920" w:h="16850"/>
      <w:pgMar w:top="1360" w:right="1280" w:bottom="1260" w:left="1280" w:header="0" w:footer="10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FACF" w14:textId="77777777" w:rsidR="00257376" w:rsidRDefault="00257376">
      <w:r>
        <w:separator/>
      </w:r>
    </w:p>
  </w:endnote>
  <w:endnote w:type="continuationSeparator" w:id="0">
    <w:p w14:paraId="1D59B227" w14:textId="77777777" w:rsidR="00257376" w:rsidRDefault="0025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enturyGothic,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Default="00CC709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7630FD">
                            <w:rPr>
                              <w:rFonts w:ascii="Times New Roman"/>
                              <w:noProof/>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Default="00CC709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sidR="007630FD">
                      <w:rPr>
                        <w:rFonts w:ascii="Times New Roman"/>
                        <w:noProof/>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B76E" w14:textId="77777777" w:rsidR="00257376" w:rsidRDefault="00257376">
      <w:r>
        <w:separator/>
      </w:r>
    </w:p>
  </w:footnote>
  <w:footnote w:type="continuationSeparator" w:id="0">
    <w:p w14:paraId="55B7EC82" w14:textId="77777777" w:rsidR="00257376" w:rsidRDefault="0025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4B8C" w14:textId="77777777" w:rsidR="00696E2A" w:rsidRDefault="00696E2A">
    <w:pPr>
      <w:pStyle w:val="Hlavika"/>
    </w:pPr>
  </w:p>
  <w:p w14:paraId="371C76DE" w14:textId="73840A56" w:rsidR="00696E2A" w:rsidRDefault="0013235D" w:rsidP="0013235D">
    <w:pPr>
      <w:pStyle w:val="Hlavika"/>
    </w:pPr>
    <w:r w:rsidRPr="0013235D">
      <w:rPr>
        <w:rFonts w:ascii="Roboto" w:hAnsi="Roboto" w:cs="CenturyGothic,Bold"/>
        <w:b/>
        <w:bCs/>
        <w:color w:val="BFBFBF" w:themeColor="background1" w:themeShade="BF"/>
        <w:sz w:val="16"/>
        <w:szCs w:val="16"/>
      </w:rPr>
      <w:t>Admission Requirements for the Second Level of Higher Education</w:t>
    </w:r>
    <w:r>
      <w:rPr>
        <w:rFonts w:ascii="Roboto" w:hAnsi="Roboto" w:cs="CenturyGothic,Bold"/>
        <w:b/>
        <w:bCs/>
        <w:color w:val="BFBFBF" w:themeColor="background1" w:themeShade="BF"/>
        <w:sz w:val="16"/>
        <w:szCs w:val="16"/>
      </w:rPr>
      <w:t xml:space="preserve"> </w:t>
    </w:r>
    <w:r w:rsidRPr="0013235D">
      <w:rPr>
        <w:rFonts w:ascii="Roboto" w:hAnsi="Roboto" w:cs="CenturyGothic,Bold"/>
        <w:b/>
        <w:bCs/>
        <w:color w:val="BFBFBF" w:themeColor="background1" w:themeShade="BF"/>
        <w:sz w:val="16"/>
        <w:szCs w:val="16"/>
      </w:rPr>
      <w:t>in the study programme International Master of Horticulture Science</w:t>
    </w:r>
    <w:r>
      <w:rPr>
        <w:rFonts w:ascii="Roboto" w:hAnsi="Roboto" w:cs="CenturyGothic,Bold"/>
        <w:b/>
        <w:bCs/>
        <w:color w:val="BFBFBF" w:themeColor="background1" w:themeShade="BF"/>
        <w:sz w:val="16"/>
        <w:szCs w:val="16"/>
      </w:rPr>
      <w:t xml:space="preserve"> </w:t>
    </w:r>
    <w:r w:rsidRPr="0013235D">
      <w:rPr>
        <w:rFonts w:ascii="Roboto" w:hAnsi="Roboto" w:cs="CenturyGothic,Bold"/>
        <w:b/>
        <w:bCs/>
        <w:color w:val="BFBFBF" w:themeColor="background1" w:themeShade="BF"/>
        <w:sz w:val="16"/>
        <w:szCs w:val="16"/>
      </w:rPr>
      <w:t>at the Faculty of Horticulture and Landscape Engineering, Slovak University of Agriculture in Nitra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E897E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285pt" o:bullet="t">
        <v:imagedata r:id="rId1" o:title=""/>
      </v:shape>
    </w:pict>
  </w:numPicBullet>
  <w:abstractNum w:abstractNumId="0" w15:restartNumberingAfterBreak="0">
    <w:nsid w:val="07557019"/>
    <w:multiLevelType w:val="hybridMultilevel"/>
    <w:tmpl w:val="201E6AE6"/>
    <w:lvl w:ilvl="0" w:tplc="041B000B">
      <w:start w:val="1"/>
      <w:numFmt w:val="bullet"/>
      <w:lvlText w:val=""/>
      <w:lvlJc w:val="left"/>
      <w:pPr>
        <w:ind w:left="1266" w:hanging="360"/>
      </w:pPr>
      <w:rPr>
        <w:rFonts w:ascii="Wingdings" w:hAnsi="Wingdings" w:hint="default"/>
      </w:rPr>
    </w:lvl>
    <w:lvl w:ilvl="1" w:tplc="041B0003" w:tentative="1">
      <w:start w:val="1"/>
      <w:numFmt w:val="bullet"/>
      <w:lvlText w:val="o"/>
      <w:lvlJc w:val="left"/>
      <w:pPr>
        <w:ind w:left="1986" w:hanging="360"/>
      </w:pPr>
      <w:rPr>
        <w:rFonts w:ascii="Courier New" w:hAnsi="Courier New" w:cs="Courier New" w:hint="default"/>
      </w:rPr>
    </w:lvl>
    <w:lvl w:ilvl="2" w:tplc="041B0005" w:tentative="1">
      <w:start w:val="1"/>
      <w:numFmt w:val="bullet"/>
      <w:lvlText w:val=""/>
      <w:lvlJc w:val="left"/>
      <w:pPr>
        <w:ind w:left="2706" w:hanging="360"/>
      </w:pPr>
      <w:rPr>
        <w:rFonts w:ascii="Wingdings" w:hAnsi="Wingdings" w:hint="default"/>
      </w:rPr>
    </w:lvl>
    <w:lvl w:ilvl="3" w:tplc="041B0001" w:tentative="1">
      <w:start w:val="1"/>
      <w:numFmt w:val="bullet"/>
      <w:lvlText w:val=""/>
      <w:lvlJc w:val="left"/>
      <w:pPr>
        <w:ind w:left="3426" w:hanging="360"/>
      </w:pPr>
      <w:rPr>
        <w:rFonts w:ascii="Symbol" w:hAnsi="Symbol" w:hint="default"/>
      </w:rPr>
    </w:lvl>
    <w:lvl w:ilvl="4" w:tplc="041B0003" w:tentative="1">
      <w:start w:val="1"/>
      <w:numFmt w:val="bullet"/>
      <w:lvlText w:val="o"/>
      <w:lvlJc w:val="left"/>
      <w:pPr>
        <w:ind w:left="4146" w:hanging="360"/>
      </w:pPr>
      <w:rPr>
        <w:rFonts w:ascii="Courier New" w:hAnsi="Courier New" w:cs="Courier New" w:hint="default"/>
      </w:rPr>
    </w:lvl>
    <w:lvl w:ilvl="5" w:tplc="041B0005" w:tentative="1">
      <w:start w:val="1"/>
      <w:numFmt w:val="bullet"/>
      <w:lvlText w:val=""/>
      <w:lvlJc w:val="left"/>
      <w:pPr>
        <w:ind w:left="4866" w:hanging="360"/>
      </w:pPr>
      <w:rPr>
        <w:rFonts w:ascii="Wingdings" w:hAnsi="Wingdings" w:hint="default"/>
      </w:rPr>
    </w:lvl>
    <w:lvl w:ilvl="6" w:tplc="041B0001" w:tentative="1">
      <w:start w:val="1"/>
      <w:numFmt w:val="bullet"/>
      <w:lvlText w:val=""/>
      <w:lvlJc w:val="left"/>
      <w:pPr>
        <w:ind w:left="5586" w:hanging="360"/>
      </w:pPr>
      <w:rPr>
        <w:rFonts w:ascii="Symbol" w:hAnsi="Symbol" w:hint="default"/>
      </w:rPr>
    </w:lvl>
    <w:lvl w:ilvl="7" w:tplc="041B0003" w:tentative="1">
      <w:start w:val="1"/>
      <w:numFmt w:val="bullet"/>
      <w:lvlText w:val="o"/>
      <w:lvlJc w:val="left"/>
      <w:pPr>
        <w:ind w:left="6306" w:hanging="360"/>
      </w:pPr>
      <w:rPr>
        <w:rFonts w:ascii="Courier New" w:hAnsi="Courier New" w:cs="Courier New" w:hint="default"/>
      </w:rPr>
    </w:lvl>
    <w:lvl w:ilvl="8" w:tplc="041B0005" w:tentative="1">
      <w:start w:val="1"/>
      <w:numFmt w:val="bullet"/>
      <w:lvlText w:val=""/>
      <w:lvlJc w:val="left"/>
      <w:pPr>
        <w:ind w:left="7026" w:hanging="360"/>
      </w:pPr>
      <w:rPr>
        <w:rFonts w:ascii="Wingdings" w:hAnsi="Wingdings" w:hint="default"/>
      </w:rPr>
    </w:lvl>
  </w:abstractNum>
  <w:abstractNum w:abstractNumId="1" w15:restartNumberingAfterBreak="0">
    <w:nsid w:val="0A39556E"/>
    <w:multiLevelType w:val="hybridMultilevel"/>
    <w:tmpl w:val="31B6A18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3"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4"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5" w15:restartNumberingAfterBreak="0">
    <w:nsid w:val="60D21B6D"/>
    <w:multiLevelType w:val="hybridMultilevel"/>
    <w:tmpl w:val="0A48A5F0"/>
    <w:lvl w:ilvl="0" w:tplc="73109998">
      <w:start w:val="1"/>
      <w:numFmt w:val="decimal"/>
      <w:lvlText w:val="%1."/>
      <w:lvlJc w:val="left"/>
      <w:pPr>
        <w:ind w:left="495" w:hanging="360"/>
      </w:pPr>
      <w:rPr>
        <w:rFonts w:hint="default"/>
      </w:rPr>
    </w:lvl>
    <w:lvl w:ilvl="1" w:tplc="041B0019" w:tentative="1">
      <w:start w:val="1"/>
      <w:numFmt w:val="lowerLetter"/>
      <w:lvlText w:val="%2."/>
      <w:lvlJc w:val="left"/>
      <w:pPr>
        <w:ind w:left="1215" w:hanging="360"/>
      </w:pPr>
    </w:lvl>
    <w:lvl w:ilvl="2" w:tplc="041B001B" w:tentative="1">
      <w:start w:val="1"/>
      <w:numFmt w:val="lowerRoman"/>
      <w:lvlText w:val="%3."/>
      <w:lvlJc w:val="right"/>
      <w:pPr>
        <w:ind w:left="1935" w:hanging="180"/>
      </w:pPr>
    </w:lvl>
    <w:lvl w:ilvl="3" w:tplc="041B000F" w:tentative="1">
      <w:start w:val="1"/>
      <w:numFmt w:val="decimal"/>
      <w:lvlText w:val="%4."/>
      <w:lvlJc w:val="left"/>
      <w:pPr>
        <w:ind w:left="2655" w:hanging="360"/>
      </w:pPr>
    </w:lvl>
    <w:lvl w:ilvl="4" w:tplc="041B0019" w:tentative="1">
      <w:start w:val="1"/>
      <w:numFmt w:val="lowerLetter"/>
      <w:lvlText w:val="%5."/>
      <w:lvlJc w:val="left"/>
      <w:pPr>
        <w:ind w:left="3375" w:hanging="360"/>
      </w:pPr>
    </w:lvl>
    <w:lvl w:ilvl="5" w:tplc="041B001B" w:tentative="1">
      <w:start w:val="1"/>
      <w:numFmt w:val="lowerRoman"/>
      <w:lvlText w:val="%6."/>
      <w:lvlJc w:val="right"/>
      <w:pPr>
        <w:ind w:left="4095" w:hanging="180"/>
      </w:pPr>
    </w:lvl>
    <w:lvl w:ilvl="6" w:tplc="041B000F" w:tentative="1">
      <w:start w:val="1"/>
      <w:numFmt w:val="decimal"/>
      <w:lvlText w:val="%7."/>
      <w:lvlJc w:val="left"/>
      <w:pPr>
        <w:ind w:left="4815" w:hanging="360"/>
      </w:pPr>
    </w:lvl>
    <w:lvl w:ilvl="7" w:tplc="041B0019" w:tentative="1">
      <w:start w:val="1"/>
      <w:numFmt w:val="lowerLetter"/>
      <w:lvlText w:val="%8."/>
      <w:lvlJc w:val="left"/>
      <w:pPr>
        <w:ind w:left="5535" w:hanging="360"/>
      </w:pPr>
    </w:lvl>
    <w:lvl w:ilvl="8" w:tplc="041B001B" w:tentative="1">
      <w:start w:val="1"/>
      <w:numFmt w:val="lowerRoman"/>
      <w:lvlText w:val="%9."/>
      <w:lvlJc w:val="right"/>
      <w:pPr>
        <w:ind w:left="6255" w:hanging="180"/>
      </w:pPr>
    </w:lvl>
  </w:abstractNum>
  <w:abstractNum w:abstractNumId="6" w15:restartNumberingAfterBreak="0">
    <w:nsid w:val="61E14D4C"/>
    <w:multiLevelType w:val="hybridMultilevel"/>
    <w:tmpl w:val="CA1663F6"/>
    <w:lvl w:ilvl="0" w:tplc="7E04E38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71668794">
    <w:abstractNumId w:val="4"/>
  </w:num>
  <w:num w:numId="2" w16cid:durableId="139272547">
    <w:abstractNumId w:val="2"/>
  </w:num>
  <w:num w:numId="3" w16cid:durableId="110513335">
    <w:abstractNumId w:val="3"/>
  </w:num>
  <w:num w:numId="4" w16cid:durableId="1109470532">
    <w:abstractNumId w:val="5"/>
  </w:num>
  <w:num w:numId="5" w16cid:durableId="604458328">
    <w:abstractNumId w:val="6"/>
  </w:num>
  <w:num w:numId="6" w16cid:durableId="1691031980">
    <w:abstractNumId w:val="1"/>
  </w:num>
  <w:num w:numId="7" w16cid:durableId="18601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03A26"/>
    <w:rsid w:val="0003006B"/>
    <w:rsid w:val="000678E6"/>
    <w:rsid w:val="00082F21"/>
    <w:rsid w:val="000C490A"/>
    <w:rsid w:val="000D3EE9"/>
    <w:rsid w:val="00102A4A"/>
    <w:rsid w:val="00107A22"/>
    <w:rsid w:val="001165D1"/>
    <w:rsid w:val="001257E0"/>
    <w:rsid w:val="0013235D"/>
    <w:rsid w:val="00147164"/>
    <w:rsid w:val="001548E9"/>
    <w:rsid w:val="00174253"/>
    <w:rsid w:val="00177A43"/>
    <w:rsid w:val="001844C4"/>
    <w:rsid w:val="001A1021"/>
    <w:rsid w:val="001A4F14"/>
    <w:rsid w:val="001B4C8F"/>
    <w:rsid w:val="001C02CA"/>
    <w:rsid w:val="001D1798"/>
    <w:rsid w:val="001E2FBB"/>
    <w:rsid w:val="001F5FB3"/>
    <w:rsid w:val="00257348"/>
    <w:rsid w:val="00257376"/>
    <w:rsid w:val="00296CAE"/>
    <w:rsid w:val="002D3F83"/>
    <w:rsid w:val="002F4328"/>
    <w:rsid w:val="003503E1"/>
    <w:rsid w:val="00353944"/>
    <w:rsid w:val="0036085D"/>
    <w:rsid w:val="003B672F"/>
    <w:rsid w:val="00401B75"/>
    <w:rsid w:val="00412B37"/>
    <w:rsid w:val="00453BF9"/>
    <w:rsid w:val="0048175E"/>
    <w:rsid w:val="004C74FC"/>
    <w:rsid w:val="004F4BBE"/>
    <w:rsid w:val="00516D16"/>
    <w:rsid w:val="0052232E"/>
    <w:rsid w:val="00591F50"/>
    <w:rsid w:val="005974F9"/>
    <w:rsid w:val="005D5E69"/>
    <w:rsid w:val="005E1880"/>
    <w:rsid w:val="005E622F"/>
    <w:rsid w:val="00613C68"/>
    <w:rsid w:val="00615DC7"/>
    <w:rsid w:val="00617610"/>
    <w:rsid w:val="006238AC"/>
    <w:rsid w:val="006268C3"/>
    <w:rsid w:val="00641DAC"/>
    <w:rsid w:val="00652681"/>
    <w:rsid w:val="00656E15"/>
    <w:rsid w:val="00671A85"/>
    <w:rsid w:val="00696E2A"/>
    <w:rsid w:val="006A1432"/>
    <w:rsid w:val="006A22F9"/>
    <w:rsid w:val="006B1BA1"/>
    <w:rsid w:val="006C3BDB"/>
    <w:rsid w:val="006D2650"/>
    <w:rsid w:val="007132B5"/>
    <w:rsid w:val="00725C9B"/>
    <w:rsid w:val="007333B2"/>
    <w:rsid w:val="007517BF"/>
    <w:rsid w:val="007630FD"/>
    <w:rsid w:val="007A01DC"/>
    <w:rsid w:val="007B09D9"/>
    <w:rsid w:val="007C02D1"/>
    <w:rsid w:val="007C4FF7"/>
    <w:rsid w:val="007F3671"/>
    <w:rsid w:val="008147BB"/>
    <w:rsid w:val="00860A9D"/>
    <w:rsid w:val="00870EB2"/>
    <w:rsid w:val="00876615"/>
    <w:rsid w:val="00884469"/>
    <w:rsid w:val="008A652C"/>
    <w:rsid w:val="008B0845"/>
    <w:rsid w:val="008B45B4"/>
    <w:rsid w:val="008B74D0"/>
    <w:rsid w:val="008D65B7"/>
    <w:rsid w:val="008D72A9"/>
    <w:rsid w:val="008F71F7"/>
    <w:rsid w:val="00922683"/>
    <w:rsid w:val="00961F1D"/>
    <w:rsid w:val="0097291C"/>
    <w:rsid w:val="00981DE0"/>
    <w:rsid w:val="009825CE"/>
    <w:rsid w:val="00984BBE"/>
    <w:rsid w:val="009F33AD"/>
    <w:rsid w:val="00A02644"/>
    <w:rsid w:val="00A055A7"/>
    <w:rsid w:val="00A63974"/>
    <w:rsid w:val="00A7324B"/>
    <w:rsid w:val="00AB288F"/>
    <w:rsid w:val="00AB4355"/>
    <w:rsid w:val="00AF5FD2"/>
    <w:rsid w:val="00B011DF"/>
    <w:rsid w:val="00B05F05"/>
    <w:rsid w:val="00B365D7"/>
    <w:rsid w:val="00B720D5"/>
    <w:rsid w:val="00B8683A"/>
    <w:rsid w:val="00BB3BBA"/>
    <w:rsid w:val="00BB66EC"/>
    <w:rsid w:val="00BB6DDA"/>
    <w:rsid w:val="00C00D2F"/>
    <w:rsid w:val="00C53633"/>
    <w:rsid w:val="00C83BFD"/>
    <w:rsid w:val="00C86796"/>
    <w:rsid w:val="00C93A01"/>
    <w:rsid w:val="00CA462D"/>
    <w:rsid w:val="00CB2BE5"/>
    <w:rsid w:val="00CC7099"/>
    <w:rsid w:val="00CE05FB"/>
    <w:rsid w:val="00CF5F56"/>
    <w:rsid w:val="00D158E8"/>
    <w:rsid w:val="00D46132"/>
    <w:rsid w:val="00D771E0"/>
    <w:rsid w:val="00DB6750"/>
    <w:rsid w:val="00DD0994"/>
    <w:rsid w:val="00DD17A5"/>
    <w:rsid w:val="00DD18C1"/>
    <w:rsid w:val="00E50458"/>
    <w:rsid w:val="00E70B22"/>
    <w:rsid w:val="00EA0B42"/>
    <w:rsid w:val="00EA2520"/>
    <w:rsid w:val="00EC068D"/>
    <w:rsid w:val="00ED6BFC"/>
    <w:rsid w:val="00EF3F27"/>
    <w:rsid w:val="00F232D3"/>
    <w:rsid w:val="00F34A7E"/>
    <w:rsid w:val="00F36DDF"/>
    <w:rsid w:val="00F73425"/>
    <w:rsid w:val="00F96B4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34"/>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character" w:styleId="PouitHypertextovPrepojenie">
    <w:name w:val="FollowedHyperlink"/>
    <w:basedOn w:val="Predvolenpsmoodseku"/>
    <w:uiPriority w:val="99"/>
    <w:semiHidden/>
    <w:unhideWhenUsed/>
    <w:rsid w:val="0052232E"/>
    <w:rPr>
      <w:color w:val="800080" w:themeColor="followedHyperlink"/>
      <w:u w:val="single"/>
    </w:rPr>
  </w:style>
  <w:style w:type="table" w:styleId="Mriekatabuky">
    <w:name w:val="Table Grid"/>
    <w:basedOn w:val="Normlnatabuka"/>
    <w:uiPriority w:val="59"/>
    <w:rsid w:val="0052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B8683A"/>
    <w:rPr>
      <w:sz w:val="16"/>
      <w:szCs w:val="16"/>
    </w:rPr>
  </w:style>
  <w:style w:type="paragraph" w:styleId="Textkomentra">
    <w:name w:val="annotation text"/>
    <w:basedOn w:val="Normlny"/>
    <w:link w:val="TextkomentraChar"/>
    <w:uiPriority w:val="99"/>
    <w:unhideWhenUsed/>
    <w:rsid w:val="00B8683A"/>
    <w:rPr>
      <w:sz w:val="20"/>
      <w:szCs w:val="20"/>
    </w:rPr>
  </w:style>
  <w:style w:type="character" w:customStyle="1" w:styleId="TextkomentraChar">
    <w:name w:val="Text komentára Char"/>
    <w:basedOn w:val="Predvolenpsmoodseku"/>
    <w:link w:val="Textkomentra"/>
    <w:uiPriority w:val="99"/>
    <w:rsid w:val="00B8683A"/>
    <w:rPr>
      <w:rFonts w:ascii="Calibri" w:eastAsia="Calibri" w:hAnsi="Calibri" w:cs="Calibri"/>
      <w:sz w:val="20"/>
      <w:szCs w:val="20"/>
      <w:lang w:val="sk-SK"/>
    </w:rPr>
  </w:style>
  <w:style w:type="paragraph" w:styleId="Hlavika">
    <w:name w:val="header"/>
    <w:basedOn w:val="Normlny"/>
    <w:link w:val="HlavikaChar"/>
    <w:uiPriority w:val="99"/>
    <w:unhideWhenUsed/>
    <w:rsid w:val="00696E2A"/>
    <w:pPr>
      <w:tabs>
        <w:tab w:val="center" w:pos="4536"/>
        <w:tab w:val="right" w:pos="9072"/>
      </w:tabs>
    </w:pPr>
  </w:style>
  <w:style w:type="character" w:customStyle="1" w:styleId="HlavikaChar">
    <w:name w:val="Hlavička Char"/>
    <w:basedOn w:val="Predvolenpsmoodseku"/>
    <w:link w:val="Hlavika"/>
    <w:uiPriority w:val="99"/>
    <w:rsid w:val="00696E2A"/>
    <w:rPr>
      <w:rFonts w:ascii="Calibri" w:eastAsia="Calibri" w:hAnsi="Calibri" w:cs="Calibri"/>
      <w:lang w:val="sk-SK"/>
    </w:rPr>
  </w:style>
  <w:style w:type="paragraph" w:styleId="Pta">
    <w:name w:val="footer"/>
    <w:basedOn w:val="Normlny"/>
    <w:link w:val="PtaChar"/>
    <w:uiPriority w:val="99"/>
    <w:unhideWhenUsed/>
    <w:rsid w:val="00696E2A"/>
    <w:pPr>
      <w:tabs>
        <w:tab w:val="center" w:pos="4536"/>
        <w:tab w:val="right" w:pos="9072"/>
      </w:tabs>
    </w:pPr>
  </w:style>
  <w:style w:type="character" w:customStyle="1" w:styleId="PtaChar">
    <w:name w:val="Päta Char"/>
    <w:basedOn w:val="Predvolenpsmoodseku"/>
    <w:link w:val="Pta"/>
    <w:uiPriority w:val="99"/>
    <w:rsid w:val="00696E2A"/>
    <w:rPr>
      <w:rFonts w:ascii="Calibri" w:eastAsia="Calibri" w:hAnsi="Calibri" w:cs="Calibri"/>
      <w:lang w:val="sk-SK"/>
    </w:rPr>
  </w:style>
  <w:style w:type="paragraph" w:styleId="Normlnywebov">
    <w:name w:val="Normal (Web)"/>
    <w:basedOn w:val="Normlny"/>
    <w:uiPriority w:val="99"/>
    <w:unhideWhenUsed/>
    <w:rsid w:val="001A4F14"/>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dnazelenu.sk/fakulty-fzk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zki.uniag.sk" TargetMode="External"/><Relationship Id="rId17" Type="http://schemas.openxmlformats.org/officeDocument/2006/relationships/hyperlink" Target="http://www.portalvs.sk" TargetMode="External"/><Relationship Id="rId2" Type="http://schemas.openxmlformats.org/officeDocument/2006/relationships/customXml" Target="../customXml/item2.xml"/><Relationship Id="rId16" Type="http://schemas.openxmlformats.org/officeDocument/2006/relationships/hyperlink" Target="http://www.fzki.uniag.sk/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kfzki@uniag.sk" TargetMode="External"/><Relationship Id="rId5" Type="http://schemas.openxmlformats.org/officeDocument/2006/relationships/styles" Target="styles.xml"/><Relationship Id="rId15" Type="http://schemas.openxmlformats.org/officeDocument/2006/relationships/hyperlink" Target="https://uznavanie.minedu.sk/recognition-statement/"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zki.uniag.sk/sk/inzinierske-studijne-programy-v-anglickom-jazyk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0bcc4d-056a-4b49-885b-7e3a10311c8d" xsi:nil="true"/>
    <lcf76f155ced4ddcb4097134ff3c332f xmlns="ccab04ca-a1d6-4526-9a0e-3e6517e075bc">
      <Terms xmlns="http://schemas.microsoft.com/office/infopath/2007/PartnerControls"/>
    </lcf76f155ced4ddcb4097134ff3c332f>
    <SharedWithUsers xmlns="570bcc4d-056a-4b49-885b-7e3a10311c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FEC2C643025D4AA2C99BD45EDEF2E1" ma:contentTypeVersion="16" ma:contentTypeDescription="Umožňuje vytvoriť nový dokument." ma:contentTypeScope="" ma:versionID="6a6bd82a334fc06521849fdf208e3fce">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b174a346e70219e533a7279e62c19abb"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Zdieľané s podrobnosťami" ma:internalName="SharedWithDetails" ma:readOnly="true">
      <xsd:simpleType>
        <xsd:restriction base="dms:Note">
          <xsd:maxLength value="255"/>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8853B-C0B0-452B-B80A-57ABE51BFC56}">
  <ds:schemaRefs>
    <ds:schemaRef ds:uri="http://schemas.microsoft.com/office/2006/metadata/properties"/>
    <ds:schemaRef ds:uri="http://schemas.microsoft.com/office/infopath/2007/PartnerControls"/>
    <ds:schemaRef ds:uri="570bcc4d-056a-4b49-885b-7e3a10311c8d"/>
    <ds:schemaRef ds:uri="ccab04ca-a1d6-4526-9a0e-3e6517e075bc"/>
  </ds:schemaRefs>
</ds:datastoreItem>
</file>

<file path=customXml/itemProps2.xml><?xml version="1.0" encoding="utf-8"?>
<ds:datastoreItem xmlns:ds="http://schemas.openxmlformats.org/officeDocument/2006/customXml" ds:itemID="{FDB28A56-5932-4ED3-B16A-4FB63961ACAD}">
  <ds:schemaRefs>
    <ds:schemaRef ds:uri="http://schemas.microsoft.com/sharepoint/v3/contenttype/forms"/>
  </ds:schemaRefs>
</ds:datastoreItem>
</file>

<file path=customXml/itemProps3.xml><?xml version="1.0" encoding="utf-8"?>
<ds:datastoreItem xmlns:ds="http://schemas.openxmlformats.org/officeDocument/2006/customXml" ds:itemID="{21EDDA93-1B0A-47A4-B9C2-7D0F6AC3CB16}"/>
</file>

<file path=docProps/app.xml><?xml version="1.0" encoding="utf-8"?>
<Properties xmlns="http://schemas.openxmlformats.org/officeDocument/2006/extended-properties" xmlns:vt="http://schemas.openxmlformats.org/officeDocument/2006/docPropsVTypes">
  <Template>Normal</Template>
  <TotalTime>15</TotalTime>
  <Pages>4</Pages>
  <Words>1631</Words>
  <Characters>9297</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Romana Janoušková</cp:lastModifiedBy>
  <cp:revision>5</cp:revision>
  <dcterms:created xsi:type="dcterms:W3CDTF">2026-02-27T16:57:00Z</dcterms:created>
  <dcterms:modified xsi:type="dcterms:W3CDTF">2026-03-01T10:02:00Z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3138400</vt:r8>
  </property>
  <property fmtid="{D5CDD505-2E9C-101B-9397-08002B2CF9AE}" pid="9" name="xd_ProgID">
    <vt:lpwstr/>
  </property>
  <property fmtid="{D5CDD505-2E9C-101B-9397-08002B2CF9AE}" pid="10" name="MediaServiceImageTags">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